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2FD" w:rsidRDefault="004F7AE3" w:rsidP="00C102FD">
      <w:pPr>
        <w:jc w:val="center"/>
        <w:rPr>
          <w:b/>
        </w:rPr>
      </w:pPr>
      <w:r>
        <w:rPr>
          <w:b/>
        </w:rPr>
        <w:t xml:space="preserve">DECISÃO FINAL nº </w:t>
      </w:r>
      <w:r w:rsidR="00A06040">
        <w:rPr>
          <w:b/>
        </w:rPr>
        <w:t>048/2018</w:t>
      </w:r>
    </w:p>
    <w:p w:rsidR="00C102FD" w:rsidRDefault="00C102FD" w:rsidP="00C102FD">
      <w:pPr>
        <w:jc w:val="center"/>
        <w:rPr>
          <w:b/>
        </w:rPr>
      </w:pPr>
    </w:p>
    <w:p w:rsidR="00C102FD" w:rsidRDefault="00C102FD" w:rsidP="00C102FD">
      <w:pPr>
        <w:rPr>
          <w:b/>
        </w:rPr>
      </w:pPr>
    </w:p>
    <w:p w:rsidR="00C102FD" w:rsidRDefault="00C102FD" w:rsidP="004428A9">
      <w:pPr>
        <w:spacing w:line="360" w:lineRule="auto"/>
        <w:rPr>
          <w:b/>
        </w:rPr>
      </w:pPr>
      <w:r>
        <w:rPr>
          <w:b/>
        </w:rPr>
        <w:t>Procedi</w:t>
      </w:r>
      <w:r w:rsidR="00A06040">
        <w:rPr>
          <w:b/>
        </w:rPr>
        <w:t>mento Administrativo nº 095/2018</w:t>
      </w:r>
      <w:r>
        <w:rPr>
          <w:b/>
        </w:rPr>
        <w:t>.</w:t>
      </w:r>
    </w:p>
    <w:p w:rsidR="00C102FD" w:rsidRDefault="00C102FD" w:rsidP="004428A9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u w:val="single"/>
        </w:rPr>
        <w:t>OBJETO</w:t>
      </w:r>
      <w:r>
        <w:rPr>
          <w:b/>
        </w:rPr>
        <w:t xml:space="preserve">: </w:t>
      </w:r>
      <w:r>
        <w:t xml:space="preserve">Análise do pleito de </w:t>
      </w:r>
      <w:r w:rsidR="00A06040">
        <w:t xml:space="preserve">reajuste tarifário anual </w:t>
      </w:r>
      <w:r>
        <w:t>do contrato de concessão nº 042/2017, firmado em 18 de abril de 2017, cujo objeto é a Prestação e Exploração do serviço de transporte coletivo urbano de passageiros no município de Blumenau, exclusivamente na modalidade convencional.</w:t>
      </w:r>
    </w:p>
    <w:p w:rsidR="00C102FD" w:rsidRDefault="00C102FD" w:rsidP="004428A9">
      <w:pPr>
        <w:pStyle w:val="NormalWeb"/>
        <w:spacing w:before="0" w:beforeAutospacing="0" w:after="0" w:afterAutospacing="0" w:line="360" w:lineRule="auto"/>
      </w:pPr>
      <w:r>
        <w:t xml:space="preserve"> </w:t>
      </w:r>
    </w:p>
    <w:p w:rsidR="00C102FD" w:rsidRDefault="00C102FD" w:rsidP="004428A9">
      <w:pPr>
        <w:pStyle w:val="NormalWeb"/>
        <w:spacing w:before="0" w:beforeAutospacing="0" w:after="0" w:afterAutospacing="0" w:line="360" w:lineRule="auto"/>
        <w:rPr>
          <w:b/>
        </w:rPr>
      </w:pPr>
      <w:r>
        <w:rPr>
          <w:b/>
          <w:u w:val="single"/>
        </w:rPr>
        <w:t>SOLICITANTE</w:t>
      </w:r>
      <w:r>
        <w:rPr>
          <w:b/>
        </w:rPr>
        <w:t xml:space="preserve">: Município de Blumenau, através do SETERB. </w:t>
      </w:r>
    </w:p>
    <w:p w:rsidR="00C102FD" w:rsidRDefault="00C102FD" w:rsidP="004428A9">
      <w:pPr>
        <w:pStyle w:val="NormalWeb"/>
        <w:spacing w:before="0" w:beforeAutospacing="0" w:after="0" w:afterAutospacing="0" w:line="360" w:lineRule="auto"/>
      </w:pPr>
    </w:p>
    <w:p w:rsidR="00C102FD" w:rsidRDefault="00C102FD" w:rsidP="004428A9">
      <w:pPr>
        <w:pStyle w:val="NormalWeb"/>
        <w:spacing w:before="0" w:beforeAutospacing="0" w:after="0" w:afterAutospacing="0" w:line="360" w:lineRule="auto"/>
      </w:pPr>
    </w:p>
    <w:p w:rsidR="00C102FD" w:rsidRDefault="00C102FD" w:rsidP="00BF5CC2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rPr>
          <w:b/>
        </w:rPr>
      </w:pPr>
      <w:r>
        <w:rPr>
          <w:b/>
        </w:rPr>
        <w:t>RELATÓRIO</w:t>
      </w:r>
    </w:p>
    <w:p w:rsidR="00C102FD" w:rsidRDefault="00C102FD" w:rsidP="004428A9">
      <w:pPr>
        <w:pStyle w:val="NormalWeb"/>
        <w:spacing w:before="0" w:beforeAutospacing="0" w:after="0" w:afterAutospacing="0" w:line="360" w:lineRule="auto"/>
        <w:rPr>
          <w:b/>
        </w:rPr>
      </w:pPr>
    </w:p>
    <w:p w:rsidR="00A06040" w:rsidRDefault="00A06040" w:rsidP="004B66D5">
      <w:pPr>
        <w:spacing w:line="360" w:lineRule="auto"/>
        <w:ind w:firstLine="1134"/>
        <w:jc w:val="both"/>
      </w:pPr>
      <w:r>
        <w:t>O bem lavra</w:t>
      </w:r>
      <w:r w:rsidR="005C2C9F">
        <w:t>do Parecer Administrativo n. 070</w:t>
      </w:r>
      <w:r>
        <w:t>/2018 que instrui o presente Procedimento Administrativo</w:t>
      </w:r>
      <w:r w:rsidR="005C2C9F">
        <w:t xml:space="preserve"> 09</w:t>
      </w:r>
      <w:r w:rsidR="00AA15B5">
        <w:t>5</w:t>
      </w:r>
      <w:r w:rsidR="005C2C9F">
        <w:t>/2018</w:t>
      </w:r>
      <w:r>
        <w:t>, do qual transcrevo parte, serve em parte também como razõ</w:t>
      </w:r>
      <w:r w:rsidR="00BB30D0">
        <w:t xml:space="preserve">es de decidir. Inicialmente é de bom alvitre, lembrar que a opção de transferir a regulação do </w:t>
      </w:r>
      <w:r w:rsidR="00BB30D0">
        <w:t>serviço de transporte coletivo do município de Blumenau</w:t>
      </w:r>
      <w:r w:rsidR="00BB30D0">
        <w:t xml:space="preserve"> se deu através da Lei Complementar Municipal n. 8.363, de 15 de dezembro de 2016. O mesmo parecer acima citado, também dá conta, de forma bastante didática, do enquadramento legal e atribuições, competência e alcance da Agência Reguladora intermunicipal e constituída em forma de consórcio público.</w:t>
      </w:r>
    </w:p>
    <w:p w:rsidR="00BB30D0" w:rsidRDefault="00BB30D0" w:rsidP="004B66D5">
      <w:pPr>
        <w:spacing w:line="360" w:lineRule="auto"/>
        <w:ind w:firstLine="1134"/>
        <w:jc w:val="both"/>
      </w:pPr>
      <w:r>
        <w:t>Há de ser registrado que a atuação da AGIR, ao longo desde ano de 2018, como deve ser, não ficou apenas restrita a essa análise do pedido de reajuste. O ano em curso, recheado de imponderáveis, trouxe</w:t>
      </w:r>
      <w:r w:rsidR="00567CC7">
        <w:t xml:space="preserve"> às atividades da regulação, vários cenários desafiadores e sequer vivenciados pela população blumenauense. O ambiente do transporte coletivo municipal, ainda se acha permeado de desconfianças e contradições, decorrentes, à nosso ver, de políticas públicas praticadas ainda sob o viés de metodologias pouco aplicáveis ao caso em concreto.</w:t>
      </w:r>
    </w:p>
    <w:p w:rsidR="004B66D5" w:rsidRDefault="00567CC7" w:rsidP="004B66D5">
      <w:pPr>
        <w:spacing w:line="360" w:lineRule="auto"/>
        <w:ind w:firstLine="1134"/>
        <w:jc w:val="both"/>
      </w:pPr>
      <w:r>
        <w:t>Por outro lado, diante da figura da regulação dos serviços, esta atividade, diga-se de passagem</w:t>
      </w:r>
      <w:r w:rsidR="004428A9">
        <w:t>,</w:t>
      </w:r>
      <w:r>
        <w:t xml:space="preserve"> ainda muito nova e pouco conhecida por uma das vertentes, o seja o usuário, também ainda é </w:t>
      </w:r>
    </w:p>
    <w:p w:rsidR="004B66D5" w:rsidRDefault="004B66D5" w:rsidP="004B66D5">
      <w:pPr>
        <w:spacing w:line="360" w:lineRule="auto"/>
        <w:ind w:firstLine="1134"/>
        <w:jc w:val="both"/>
      </w:pPr>
    </w:p>
    <w:p w:rsidR="00567CC7" w:rsidRDefault="00567CC7" w:rsidP="004B66D5">
      <w:pPr>
        <w:spacing w:line="360" w:lineRule="auto"/>
        <w:jc w:val="both"/>
      </w:pPr>
      <w:r>
        <w:lastRenderedPageBreak/>
        <w:t>vista com certa</w:t>
      </w:r>
      <w:r w:rsidR="004B66D5">
        <w:t xml:space="preserve"> </w:t>
      </w:r>
      <w:r>
        <w:t>desconfiança pela população, face a existência de órgãos regulatórios federais e até os estaduais (nem todos) pouco eficientes e muitas das vezes com autuação “forçada”</w:t>
      </w:r>
      <w:r w:rsidR="004428A9">
        <w:t xml:space="preserve"> pelos entes instituidores (c</w:t>
      </w:r>
      <w:r>
        <w:t>aso da AN</w:t>
      </w:r>
      <w:r w:rsidR="004B66D5">
        <w:t>E</w:t>
      </w:r>
      <w:r>
        <w:t>EL</w:t>
      </w:r>
      <w:r w:rsidR="004B66D5">
        <w:t>,</w:t>
      </w:r>
      <w:r>
        <w:t xml:space="preserve"> na redução da tarifa de energia elétrica).</w:t>
      </w:r>
    </w:p>
    <w:p w:rsidR="004428A9" w:rsidRDefault="004428A9" w:rsidP="004B66D5">
      <w:pPr>
        <w:spacing w:line="360" w:lineRule="auto"/>
        <w:ind w:firstLine="1134"/>
        <w:jc w:val="both"/>
      </w:pPr>
      <w:r>
        <w:t xml:space="preserve">Como já mencionado, a análise deste reajuste, que é previsto contratualmente, tendo como base a fórmula paramétrica que </w:t>
      </w:r>
      <w:r w:rsidR="005C2C9F">
        <w:t xml:space="preserve">se </w:t>
      </w:r>
      <w:r>
        <w:t>acha aplicado no parecer administrativo, não se absteve tão somente à essa questão, dadas as outras análises e decisões já proferidas no decorrer do ano, como no caso das ações implantadas pelas recomendações da Comissão Especial</w:t>
      </w:r>
      <w:r w:rsidR="004B66D5">
        <w:t xml:space="preserve"> (051/17) e outros assuntos tratados através dos procedimentos 033, 037, 038 de 2017 e os procedimentos 072 e 089 de 2018.</w:t>
      </w:r>
    </w:p>
    <w:p w:rsidR="005C2C9F" w:rsidRDefault="005C2C9F" w:rsidP="005C2C9F">
      <w:pPr>
        <w:spacing w:line="360" w:lineRule="auto"/>
        <w:ind w:firstLine="709"/>
        <w:jc w:val="both"/>
      </w:pPr>
      <w:r>
        <w:t>“...</w:t>
      </w:r>
    </w:p>
    <w:p w:rsidR="005C2C9F" w:rsidRPr="005C2C9F" w:rsidRDefault="005C2C9F" w:rsidP="005C2C9F">
      <w:pPr>
        <w:spacing w:line="360" w:lineRule="auto"/>
        <w:ind w:left="1134" w:firstLine="1"/>
        <w:jc w:val="both"/>
        <w:rPr>
          <w:sz w:val="18"/>
          <w:szCs w:val="18"/>
        </w:rPr>
      </w:pPr>
      <w:r w:rsidRPr="005C2C9F">
        <w:rPr>
          <w:sz w:val="20"/>
          <w:szCs w:val="20"/>
        </w:rPr>
        <w:t>O processo de Reajuste Tarifário, conforme definido no item 1.1 do Anexo V do referido Contrato, “</w:t>
      </w:r>
      <w:r w:rsidRPr="005C2C9F">
        <w:rPr>
          <w:i/>
          <w:sz w:val="20"/>
          <w:szCs w:val="20"/>
        </w:rPr>
        <w:t>[...]ocorre anualmente, sempre no dia 1º de dezembro, e será calculado de acordo com a fórmula prevista nesta metodologia</w:t>
      </w:r>
      <w:r w:rsidRPr="005C2C9F">
        <w:rPr>
          <w:sz w:val="20"/>
          <w:szCs w:val="20"/>
        </w:rPr>
        <w:t>” e tem com</w:t>
      </w:r>
      <w:r w:rsidRPr="005C2C9F">
        <w:rPr>
          <w:sz w:val="18"/>
          <w:szCs w:val="18"/>
        </w:rPr>
        <w:t>o procedimento apenas a aplicação da equação paramétrica de reajuste, conforme segue:</w:t>
      </w:r>
    </w:p>
    <w:p w:rsidR="005C2C9F" w:rsidRPr="005C2C9F" w:rsidRDefault="005C2C9F" w:rsidP="005C2C9F">
      <w:pPr>
        <w:spacing w:line="360" w:lineRule="auto"/>
        <w:ind w:left="1134" w:firstLine="1"/>
        <w:jc w:val="both"/>
        <w:rPr>
          <w:sz w:val="18"/>
          <w:szCs w:val="18"/>
        </w:rPr>
      </w:pPr>
      <m:oMathPara>
        <m:oMath>
          <m:r>
            <w:rPr>
              <w:rFonts w:ascii="Cambria Math" w:hAnsi="Cambria Math"/>
              <w:sz w:val="18"/>
              <w:szCs w:val="18"/>
            </w:rPr>
            <m:t>TDP=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TDA×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1+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d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  <w:szCs w:val="18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PCP-PCA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PCA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×20,98%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+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d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  <w:szCs w:val="18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SMP-SMA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SMA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×65,17%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+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d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  <w:szCs w:val="18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IVP-IVA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</w:rPr>
                                    <m:t>IVA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×13,85%</m:t>
                          </m:r>
                        </m:e>
                      </m:d>
                    </m:e>
                  </m:d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1+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IPKeP-IPKeA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IPKeA</m:t>
                          </m:r>
                        </m:den>
                      </m:f>
                    </m:e>
                  </m:d>
                </m:e>
              </m:d>
            </m:den>
          </m:f>
        </m:oMath>
      </m:oMathPara>
    </w:p>
    <w:p w:rsidR="005C2C9F" w:rsidRDefault="005C2C9F" w:rsidP="005C2C9F">
      <w:pPr>
        <w:spacing w:after="0" w:line="360" w:lineRule="auto"/>
        <w:ind w:left="1134" w:firstLine="1"/>
        <w:jc w:val="both"/>
        <w:rPr>
          <w:sz w:val="20"/>
          <w:szCs w:val="20"/>
        </w:rPr>
      </w:pPr>
      <w:r w:rsidRPr="005C2C9F">
        <w:rPr>
          <w:sz w:val="20"/>
          <w:szCs w:val="20"/>
        </w:rPr>
        <w:t>Sendo o Reajuste Tarifário efetuado anualmente, o processo de Revisão Tarifária Periódica (RTP), conforme definido no item 1.7, “</w:t>
      </w:r>
      <w:r w:rsidRPr="005C2C9F">
        <w:rPr>
          <w:i/>
          <w:sz w:val="20"/>
          <w:szCs w:val="20"/>
        </w:rPr>
        <w:t>[...]ocorrerá a cada 3 (três) anos, sendo que em ano de revisão tarifária não haverá reajuste</w:t>
      </w:r>
      <w:r w:rsidRPr="005C2C9F">
        <w:rPr>
          <w:sz w:val="20"/>
          <w:szCs w:val="20"/>
        </w:rPr>
        <w:t>”, e ainda, segundo o item 1.9, determina-se “[...]</w:t>
      </w:r>
      <w:r w:rsidRPr="005C2C9F">
        <w:rPr>
          <w:i/>
          <w:sz w:val="20"/>
          <w:szCs w:val="20"/>
        </w:rPr>
        <w:t>a data de 1º de dezembro para todos os eventos tarifários ordinários (reajuste e revisão).</w:t>
      </w:r>
      <w:r w:rsidRPr="005C2C9F">
        <w:rPr>
          <w:sz w:val="20"/>
          <w:szCs w:val="20"/>
        </w:rPr>
        <w:t xml:space="preserve">” </w:t>
      </w:r>
    </w:p>
    <w:p w:rsidR="005C2C9F" w:rsidRDefault="005C2C9F" w:rsidP="005C2C9F">
      <w:pPr>
        <w:spacing w:after="0" w:line="360" w:lineRule="auto"/>
        <w:ind w:left="1134" w:firstLine="1"/>
        <w:jc w:val="both"/>
        <w:rPr>
          <w:sz w:val="20"/>
          <w:szCs w:val="20"/>
        </w:rPr>
      </w:pPr>
      <w:r w:rsidRPr="005C2C9F">
        <w:rPr>
          <w:sz w:val="20"/>
          <w:szCs w:val="20"/>
        </w:rPr>
        <w:t>Assim, o Reajuste Tarifário tem o papel de atualizar os valores da Concessão a fim de compensar as perdas financeiras decorridas da variação de preço dos insumos deste serviço, enquanto a Revisão Tarifária</w:t>
      </w:r>
      <w:r w:rsidRPr="005C2C9F">
        <w:rPr>
          <w:sz w:val="20"/>
          <w:szCs w:val="20"/>
        </w:rPr>
        <w:t xml:space="preserve"> </w:t>
      </w:r>
      <w:r w:rsidRPr="005C2C9F">
        <w:rPr>
          <w:sz w:val="20"/>
          <w:szCs w:val="20"/>
        </w:rPr>
        <w:t>Periódica tem o papel apurar os valores reais aferidos no ciclo de revisão e reequilibrar o Contrato de Concessão para os anos subsequentes.</w:t>
      </w:r>
      <w:r>
        <w:rPr>
          <w:sz w:val="20"/>
          <w:szCs w:val="20"/>
        </w:rPr>
        <w:t xml:space="preserve"> “</w:t>
      </w:r>
    </w:p>
    <w:p w:rsidR="005C2C9F" w:rsidRPr="005C2C9F" w:rsidRDefault="005C2C9F" w:rsidP="005C2C9F">
      <w:pPr>
        <w:spacing w:after="0" w:line="360" w:lineRule="auto"/>
        <w:ind w:left="1134" w:firstLine="1"/>
        <w:jc w:val="both"/>
        <w:rPr>
          <w:sz w:val="20"/>
          <w:szCs w:val="20"/>
        </w:rPr>
      </w:pPr>
    </w:p>
    <w:p w:rsidR="004B66D5" w:rsidRDefault="004B66D5" w:rsidP="004B66D5">
      <w:pPr>
        <w:spacing w:line="360" w:lineRule="auto"/>
        <w:ind w:firstLine="1134"/>
        <w:jc w:val="both"/>
      </w:pPr>
      <w:r>
        <w:t>Todos esses procedimentos, de uma ou outra forma, impactaram ou não a composição da tarifa do transporte público de Blumenau, por isso a necessidade da contextualização. Todas as ações sempre foram pautadas por reuniões e debates, sempre registradas para o seu controle e até para efeitos de conhecimento público.</w:t>
      </w:r>
    </w:p>
    <w:p w:rsidR="00222F99" w:rsidRDefault="004B66D5" w:rsidP="004B66D5">
      <w:pPr>
        <w:spacing w:line="360" w:lineRule="auto"/>
        <w:ind w:firstLine="1134"/>
        <w:jc w:val="both"/>
      </w:pPr>
      <w:r>
        <w:t>Assim, a Concessionária BluMOB apresentou, em tempo hábil, a seu pedido de reajuste contratual anual, juntando e apresentando</w:t>
      </w:r>
      <w:r w:rsidR="005C2C9F">
        <w:t xml:space="preserve"> os elementos mínimos necessários para análise e o seu ent</w:t>
      </w:r>
      <w:r w:rsidR="00222F99">
        <w:t>en-</w:t>
      </w:r>
    </w:p>
    <w:p w:rsidR="00222F99" w:rsidRDefault="00222F99" w:rsidP="004B66D5">
      <w:pPr>
        <w:spacing w:line="360" w:lineRule="auto"/>
        <w:ind w:firstLine="1134"/>
        <w:jc w:val="both"/>
      </w:pPr>
    </w:p>
    <w:p w:rsidR="004B66D5" w:rsidRDefault="00222F99" w:rsidP="00222F99">
      <w:pPr>
        <w:spacing w:line="360" w:lineRule="auto"/>
        <w:jc w:val="both"/>
      </w:pPr>
      <w:r>
        <w:lastRenderedPageBreak/>
        <w:t>Dimento, quanto à variação do combustível (Quadro 1), variação salarial ((INPC), variação do índice de veículos (Quadro 2) e o Índice de Passageiros por Quilometro Equivalente (IPKe) como visto no quadro 3.</w:t>
      </w:r>
    </w:p>
    <w:p w:rsidR="00222F99" w:rsidRDefault="00222F99" w:rsidP="00222F99">
      <w:pPr>
        <w:spacing w:line="360" w:lineRule="auto"/>
        <w:jc w:val="both"/>
      </w:pPr>
      <w:r>
        <w:tab/>
        <w:t>Já no Quadro 4, abaixo reproduzido, se tem o efetivo cálculo do reajuste da tarifa, ou seja:</w:t>
      </w:r>
    </w:p>
    <w:p w:rsidR="00222F99" w:rsidRPr="001C380D" w:rsidRDefault="00222F99" w:rsidP="00222F99">
      <w:pPr>
        <w:spacing w:after="0" w:line="240" w:lineRule="auto"/>
        <w:rPr>
          <w:b/>
        </w:rPr>
      </w:pPr>
      <w:r w:rsidRPr="001C380D">
        <w:rPr>
          <w:b/>
        </w:rPr>
        <w:t>Quadro 4 – Cálculo revisão tarifária – Pleito BluMob.</w:t>
      </w:r>
    </w:p>
    <w:p w:rsidR="00222F99" w:rsidRDefault="00222F99" w:rsidP="00222F99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252AA988" wp14:editId="70B67AB4">
            <wp:extent cx="6122822" cy="2166620"/>
            <wp:effectExtent l="19050" t="19050" r="11430" b="2413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8" r="723"/>
                    <a:stretch/>
                  </pic:blipFill>
                  <pic:spPr bwMode="auto">
                    <a:xfrm>
                      <a:off x="0" y="0"/>
                      <a:ext cx="6126173" cy="21678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2F99" w:rsidRDefault="00222F99" w:rsidP="00222F99">
      <w:pPr>
        <w:spacing w:after="0" w:line="360" w:lineRule="auto"/>
        <w:rPr>
          <w:sz w:val="20"/>
        </w:rPr>
      </w:pPr>
      <w:r w:rsidRPr="000A4BE7">
        <w:rPr>
          <w:sz w:val="20"/>
        </w:rPr>
        <w:t>Fonte: Pleito BluMob 2018.</w:t>
      </w:r>
    </w:p>
    <w:p w:rsidR="00222F99" w:rsidRDefault="00222F99" w:rsidP="00222F99">
      <w:pPr>
        <w:spacing w:after="0" w:line="360" w:lineRule="auto"/>
        <w:rPr>
          <w:sz w:val="20"/>
        </w:rPr>
      </w:pPr>
      <w:r>
        <w:rPr>
          <w:sz w:val="20"/>
        </w:rPr>
        <w:tab/>
      </w:r>
    </w:p>
    <w:p w:rsidR="00222F99" w:rsidRDefault="00222F99" w:rsidP="00222F99">
      <w:pPr>
        <w:spacing w:after="0" w:line="360" w:lineRule="auto"/>
        <w:ind w:firstLine="851"/>
      </w:pPr>
      <w:r w:rsidRPr="00222F99">
        <w:t xml:space="preserve">Transposta essa </w:t>
      </w:r>
      <w:r>
        <w:t xml:space="preserve">etapa, o Procedimento é levado à assessoria jurídica, que da mesma forma, com aas cautelas legais necessárias, emite o seu parecer, por suas próprias razões e convicções, apontando como válidas e aplicáveis, os cálculos, os resultados e os procedimentos adotados para apreciação do pedido anual de reajuste contratual. </w:t>
      </w:r>
    </w:p>
    <w:p w:rsidR="00BF5CC2" w:rsidRDefault="00BF5CC2" w:rsidP="00222F99">
      <w:pPr>
        <w:spacing w:after="0" w:line="360" w:lineRule="auto"/>
        <w:ind w:firstLine="851"/>
      </w:pPr>
      <w:r>
        <w:t>Esse o mínimo e necessário relatório e que assim visto, fornece todos os elementos necessários para a aplicação da decisão.</w:t>
      </w:r>
    </w:p>
    <w:p w:rsidR="00BF5CC2" w:rsidRPr="00222F99" w:rsidRDefault="00BF5CC2" w:rsidP="00222F99">
      <w:pPr>
        <w:spacing w:after="0" w:line="360" w:lineRule="auto"/>
        <w:ind w:firstLine="851"/>
      </w:pPr>
    </w:p>
    <w:p w:rsidR="00BF5CC2" w:rsidRDefault="00BF5CC2" w:rsidP="00BF5CC2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rPr>
          <w:b/>
        </w:rPr>
      </w:pPr>
      <w:r>
        <w:rPr>
          <w:b/>
        </w:rPr>
        <w:t>DECISÃO:</w:t>
      </w:r>
    </w:p>
    <w:p w:rsidR="00BF5CC2" w:rsidRDefault="00BF5CC2" w:rsidP="00BF5CC2">
      <w:pPr>
        <w:pStyle w:val="NormalWeb"/>
        <w:spacing w:before="0" w:beforeAutospacing="0" w:after="0" w:afterAutospacing="0" w:line="360" w:lineRule="auto"/>
        <w:ind w:firstLine="720"/>
      </w:pPr>
      <w:r>
        <w:t>Foram esses autos do Procedimento Administrativo nº 095/2018, em seu tempo e momento encaminhado à este Diretor Geral, para dentro de suas competências legais, fazer a análise e o julgamento do pedido de reajuste anual apresentado pela Concessionária, compreendendo o lapso tempo</w:t>
      </w:r>
      <w:r w:rsidR="00023C27">
        <w:t>ral decorrido entre o dia 01 de dezembro de 2017 até 30 de novembro de 2018.</w:t>
      </w:r>
    </w:p>
    <w:p w:rsidR="00023C27" w:rsidRDefault="00023C27" w:rsidP="00023C27">
      <w:pPr>
        <w:pStyle w:val="NormalWeb"/>
        <w:spacing w:before="0" w:beforeAutospacing="0" w:after="0" w:afterAutospacing="0" w:line="360" w:lineRule="auto"/>
        <w:ind w:firstLine="720"/>
      </w:pPr>
      <w:r>
        <w:t>A presente decisão tem por definição legal, a estrita observância do Edital de Concorrência nº 038/2016, em especial o seu Anexo V, que especificamente trata das Regras de Reajuste e Revisão Tarifárias, aplicando-se-lhe, como já dito, a fórmula prevista na metodologia editalícia.</w:t>
      </w:r>
    </w:p>
    <w:p w:rsidR="00023C27" w:rsidRDefault="00023C27" w:rsidP="00023C27">
      <w:pPr>
        <w:pStyle w:val="NormalWeb"/>
        <w:spacing w:before="0" w:beforeAutospacing="0" w:after="0" w:afterAutospacing="0" w:line="360" w:lineRule="auto"/>
        <w:ind w:firstLine="720"/>
      </w:pPr>
    </w:p>
    <w:p w:rsidR="00023C27" w:rsidRDefault="00023C27" w:rsidP="00023C27">
      <w:pPr>
        <w:pStyle w:val="NormalWeb"/>
        <w:spacing w:before="0" w:beforeAutospacing="0" w:after="0" w:afterAutospacing="0" w:line="360" w:lineRule="auto"/>
        <w:ind w:firstLine="720"/>
      </w:pPr>
      <w:r>
        <w:lastRenderedPageBreak/>
        <w:t>Referida equação comporta, necessariamente, quatro variáveis que assim foram apresentadas no Parecer Administrativo nº 070/2018:</w:t>
      </w:r>
    </w:p>
    <w:p w:rsidR="00023C27" w:rsidRDefault="00023C27" w:rsidP="00023C27">
      <w:pPr>
        <w:pStyle w:val="NormalWeb"/>
        <w:spacing w:before="0" w:beforeAutospacing="0" w:after="0" w:afterAutospacing="0" w:line="360" w:lineRule="auto"/>
        <w:ind w:firstLine="720"/>
      </w:pPr>
    </w:p>
    <w:p w:rsidR="001C29FD" w:rsidRPr="001C29FD" w:rsidRDefault="001C29FD" w:rsidP="001C29FD">
      <w:pPr>
        <w:pStyle w:val="NormalWeb"/>
        <w:spacing w:before="0" w:beforeAutospacing="0" w:after="0" w:afterAutospacing="0" w:line="360" w:lineRule="auto"/>
        <w:ind w:left="1134"/>
        <w:rPr>
          <w:b/>
          <w:sz w:val="20"/>
          <w:szCs w:val="20"/>
        </w:rPr>
      </w:pPr>
      <w:r w:rsidRPr="001C29FD">
        <w:rPr>
          <w:b/>
          <w:sz w:val="20"/>
          <w:szCs w:val="20"/>
        </w:rPr>
        <w:t>“...</w:t>
      </w:r>
    </w:p>
    <w:p w:rsidR="00023C27" w:rsidRPr="001C29FD" w:rsidRDefault="00023C27" w:rsidP="001C29FD">
      <w:pPr>
        <w:pStyle w:val="PargrafodaLista"/>
        <w:numPr>
          <w:ilvl w:val="0"/>
          <w:numId w:val="7"/>
        </w:numPr>
        <w:spacing w:after="0"/>
        <w:ind w:left="1134" w:firstLine="0"/>
        <w:jc w:val="both"/>
        <w:rPr>
          <w:sz w:val="20"/>
          <w:szCs w:val="20"/>
        </w:rPr>
      </w:pPr>
      <w:r w:rsidRPr="001C29FD">
        <w:rPr>
          <w:sz w:val="20"/>
          <w:szCs w:val="20"/>
        </w:rPr>
        <w:t>(</w:t>
      </w:r>
      <w:r w:rsidRPr="001C29FD">
        <w:rPr>
          <w:b/>
          <w:sz w:val="20"/>
          <w:szCs w:val="20"/>
        </w:rPr>
        <w:t>PCA</w:t>
      </w:r>
      <w:r w:rsidRPr="001C29FD">
        <w:rPr>
          <w:sz w:val="20"/>
          <w:szCs w:val="20"/>
        </w:rPr>
        <w:t xml:space="preserve"> e </w:t>
      </w:r>
      <w:r w:rsidRPr="001C29FD">
        <w:rPr>
          <w:b/>
          <w:sz w:val="20"/>
          <w:szCs w:val="20"/>
        </w:rPr>
        <w:t>PCP</w:t>
      </w:r>
      <w:r w:rsidRPr="001C29FD">
        <w:rPr>
          <w:sz w:val="20"/>
          <w:szCs w:val="20"/>
        </w:rPr>
        <w:t>): Variação no preço do combustível Diesel S10 para o município de Blumenau, média do grande distribuidor, coletados através da Agência Nacional do Petróleo, Gás Natural e Biocombustíveis (ANP);</w:t>
      </w:r>
    </w:p>
    <w:p w:rsidR="00023C27" w:rsidRPr="001C29FD" w:rsidRDefault="00023C27" w:rsidP="001C29FD">
      <w:pPr>
        <w:pStyle w:val="PargrafodaLista"/>
        <w:numPr>
          <w:ilvl w:val="0"/>
          <w:numId w:val="7"/>
        </w:numPr>
        <w:spacing w:after="0"/>
        <w:ind w:left="1134" w:firstLine="0"/>
        <w:jc w:val="both"/>
        <w:rPr>
          <w:sz w:val="20"/>
          <w:szCs w:val="20"/>
        </w:rPr>
      </w:pPr>
      <w:r w:rsidRPr="001C29FD">
        <w:rPr>
          <w:sz w:val="20"/>
          <w:szCs w:val="20"/>
        </w:rPr>
        <w:t>(</w:t>
      </w:r>
      <w:r w:rsidRPr="001C29FD">
        <w:rPr>
          <w:b/>
          <w:sz w:val="20"/>
          <w:szCs w:val="20"/>
        </w:rPr>
        <w:t>SMA</w:t>
      </w:r>
      <w:r w:rsidRPr="001C29FD">
        <w:rPr>
          <w:sz w:val="20"/>
          <w:szCs w:val="20"/>
        </w:rPr>
        <w:t xml:space="preserve"> e </w:t>
      </w:r>
      <w:r w:rsidRPr="001C29FD">
        <w:rPr>
          <w:b/>
          <w:sz w:val="20"/>
          <w:szCs w:val="20"/>
        </w:rPr>
        <w:t>SMP</w:t>
      </w:r>
      <w:r w:rsidRPr="001C29FD">
        <w:rPr>
          <w:sz w:val="20"/>
          <w:szCs w:val="20"/>
        </w:rPr>
        <w:t>): Variação no salário do motorista, definidos por meio de convenção coletiva;</w:t>
      </w:r>
    </w:p>
    <w:p w:rsidR="00023C27" w:rsidRPr="001C29FD" w:rsidRDefault="00023C27" w:rsidP="001C29FD">
      <w:pPr>
        <w:pStyle w:val="PargrafodaLista"/>
        <w:numPr>
          <w:ilvl w:val="0"/>
          <w:numId w:val="7"/>
        </w:numPr>
        <w:spacing w:after="0"/>
        <w:ind w:left="1134" w:firstLine="0"/>
        <w:jc w:val="both"/>
        <w:rPr>
          <w:sz w:val="20"/>
          <w:szCs w:val="20"/>
        </w:rPr>
      </w:pPr>
      <w:r w:rsidRPr="001C29FD">
        <w:rPr>
          <w:sz w:val="20"/>
          <w:szCs w:val="20"/>
        </w:rPr>
        <w:t>(</w:t>
      </w:r>
      <w:r w:rsidRPr="001C29FD">
        <w:rPr>
          <w:b/>
          <w:sz w:val="20"/>
          <w:szCs w:val="20"/>
        </w:rPr>
        <w:t>IVA</w:t>
      </w:r>
      <w:r w:rsidRPr="001C29FD">
        <w:rPr>
          <w:sz w:val="20"/>
          <w:szCs w:val="20"/>
        </w:rPr>
        <w:t xml:space="preserve"> e </w:t>
      </w:r>
      <w:r w:rsidRPr="001C29FD">
        <w:rPr>
          <w:b/>
          <w:sz w:val="20"/>
          <w:szCs w:val="20"/>
        </w:rPr>
        <w:t>IVP</w:t>
      </w:r>
      <w:r w:rsidRPr="001C29FD">
        <w:rPr>
          <w:sz w:val="20"/>
          <w:szCs w:val="20"/>
        </w:rPr>
        <w:t>): Variação no Índice de Veículos Automotores, Reboques, Carrocerias e Autopeças, calculado pela Fundação Getúlio Vargas (FGV);</w:t>
      </w:r>
    </w:p>
    <w:p w:rsidR="00023C27" w:rsidRPr="001C29FD" w:rsidRDefault="00023C27" w:rsidP="001C29FD">
      <w:pPr>
        <w:pStyle w:val="PargrafodaLista"/>
        <w:numPr>
          <w:ilvl w:val="0"/>
          <w:numId w:val="7"/>
        </w:numPr>
        <w:spacing w:after="0"/>
        <w:ind w:left="1134" w:firstLine="0"/>
        <w:jc w:val="both"/>
        <w:rPr>
          <w:sz w:val="20"/>
          <w:szCs w:val="20"/>
        </w:rPr>
      </w:pPr>
      <w:r w:rsidRPr="001C29FD">
        <w:rPr>
          <w:sz w:val="20"/>
          <w:szCs w:val="20"/>
        </w:rPr>
        <w:t>(</w:t>
      </w:r>
      <w:r w:rsidRPr="001C29FD">
        <w:rPr>
          <w:b/>
          <w:sz w:val="20"/>
          <w:szCs w:val="20"/>
        </w:rPr>
        <w:t>IPKeA</w:t>
      </w:r>
      <w:r w:rsidRPr="001C29FD">
        <w:rPr>
          <w:sz w:val="20"/>
          <w:szCs w:val="20"/>
        </w:rPr>
        <w:t xml:space="preserve"> e </w:t>
      </w:r>
      <w:r w:rsidRPr="001C29FD">
        <w:rPr>
          <w:b/>
          <w:sz w:val="20"/>
          <w:szCs w:val="20"/>
        </w:rPr>
        <w:t>IPKeP</w:t>
      </w:r>
      <w:r w:rsidRPr="001C29FD">
        <w:rPr>
          <w:sz w:val="20"/>
          <w:szCs w:val="20"/>
        </w:rPr>
        <w:t xml:space="preserve">): Variação no Índice de Passageiros por Quilômetro equivalente (IPKe), onde o </w:t>
      </w:r>
      <w:r w:rsidRPr="001C29FD">
        <w:rPr>
          <w:b/>
          <w:sz w:val="20"/>
          <w:szCs w:val="20"/>
        </w:rPr>
        <w:t>IPKeA</w:t>
      </w:r>
      <w:r w:rsidRPr="001C29FD">
        <w:rPr>
          <w:sz w:val="20"/>
          <w:szCs w:val="20"/>
        </w:rPr>
        <w:t xml:space="preserve"> refere-se efetivamente o apurado nos 12 meses anteriores ao reajuste anterior – ou seja do mês “-24” ao mês “-13”, sendo o mês do reajuste considerado o mês “zero”, e o </w:t>
      </w:r>
      <w:r w:rsidRPr="001C29FD">
        <w:rPr>
          <w:b/>
          <w:sz w:val="20"/>
          <w:szCs w:val="20"/>
        </w:rPr>
        <w:t>IPKeP</w:t>
      </w:r>
      <w:r w:rsidRPr="001C29FD">
        <w:rPr>
          <w:sz w:val="20"/>
          <w:szCs w:val="20"/>
        </w:rPr>
        <w:t xml:space="preserve"> refere-se ao efetivamente apurado nos 12 meses anteriores ao reajuste atual – ou seja do mês “-12” ao mês “-1”, sendo o mês do reajuste considerado o mês “zero”).</w:t>
      </w:r>
    </w:p>
    <w:p w:rsidR="001C29FD" w:rsidRPr="001C29FD" w:rsidRDefault="001C29FD" w:rsidP="001C29FD">
      <w:pPr>
        <w:pStyle w:val="PargrafodaLista"/>
        <w:numPr>
          <w:ilvl w:val="0"/>
          <w:numId w:val="7"/>
        </w:numPr>
        <w:spacing w:after="0"/>
        <w:ind w:left="1134" w:firstLine="0"/>
        <w:jc w:val="both"/>
        <w:rPr>
          <w:b/>
          <w:sz w:val="20"/>
          <w:szCs w:val="20"/>
        </w:rPr>
      </w:pPr>
      <w:r w:rsidRPr="001C29FD">
        <w:rPr>
          <w:b/>
          <w:sz w:val="20"/>
          <w:szCs w:val="20"/>
        </w:rPr>
        <w:t>...”</w:t>
      </w:r>
    </w:p>
    <w:p w:rsidR="00023C27" w:rsidRDefault="00023C27" w:rsidP="00023C27">
      <w:pPr>
        <w:spacing w:after="0" w:line="360" w:lineRule="auto"/>
        <w:ind w:firstLine="709"/>
        <w:jc w:val="both"/>
      </w:pPr>
    </w:p>
    <w:p w:rsidR="001C29FD" w:rsidRDefault="001C29FD" w:rsidP="00023C27">
      <w:pPr>
        <w:spacing w:after="0" w:line="360" w:lineRule="auto"/>
        <w:ind w:firstLine="709"/>
        <w:jc w:val="both"/>
      </w:pPr>
      <w:r>
        <w:t xml:space="preserve">Ato contínuo, o Parecer adentra, de forma pormenorizada, nessas quatro variantes, utilizando para o item </w:t>
      </w:r>
      <w:r>
        <w:rPr>
          <w:i/>
        </w:rPr>
        <w:t>combustível</w:t>
      </w:r>
      <w:r>
        <w:t>, as Figuras 1 e 2, da NAP – CSA, para apuração do peso de cada componente e daí, aplicado a seguinte equação:</w:t>
      </w:r>
    </w:p>
    <w:p w:rsidR="001C29FD" w:rsidRDefault="001C29FD" w:rsidP="00023C27">
      <w:pPr>
        <w:spacing w:after="0" w:line="360" w:lineRule="auto"/>
        <w:ind w:firstLine="709"/>
        <w:jc w:val="both"/>
      </w:pPr>
    </w:p>
    <w:p w:rsidR="001C29FD" w:rsidRPr="001C29FD" w:rsidRDefault="001C29FD" w:rsidP="001C29FD">
      <w:pPr>
        <w:spacing w:after="0" w:line="360" w:lineRule="auto"/>
        <w:ind w:firstLine="709"/>
        <w:jc w:val="center"/>
        <w:rPr>
          <w:sz w:val="20"/>
          <w:szCs w:val="20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0"/>
              <w:szCs w:val="20"/>
            </w:rPr>
            <m:t xml:space="preserve">∆IPC= 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PCP-PCA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PCA</m:t>
                  </m:r>
                </m:den>
              </m:f>
            </m:e>
          </m:d>
          <m:r>
            <w:rPr>
              <w:rFonts w:ascii="Cambria Math" w:hAnsi="Cambria Math"/>
              <w:sz w:val="20"/>
              <w:szCs w:val="20"/>
            </w:rPr>
            <m:t xml:space="preserve">= 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3,737-3,215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3,215</m:t>
                  </m:r>
                </m:den>
              </m:f>
            </m:e>
          </m:d>
          <m:r>
            <w:rPr>
              <w:rFonts w:ascii="Cambria Math" w:hAnsi="Cambria Math"/>
              <w:sz w:val="20"/>
              <w:szCs w:val="20"/>
            </w:rPr>
            <m:t>= 16,23%</m:t>
          </m:r>
        </m:oMath>
      </m:oMathPara>
    </w:p>
    <w:p w:rsidR="001C29FD" w:rsidRPr="001C29FD" w:rsidRDefault="001C29FD" w:rsidP="001C29FD">
      <w:pPr>
        <w:spacing w:after="0" w:line="360" w:lineRule="auto"/>
        <w:ind w:firstLine="709"/>
        <w:jc w:val="center"/>
        <w:rPr>
          <w:sz w:val="20"/>
          <w:szCs w:val="20"/>
        </w:rPr>
      </w:pPr>
    </w:p>
    <w:p w:rsidR="001C29FD" w:rsidRPr="001C29FD" w:rsidRDefault="001C29FD" w:rsidP="001C29FD">
      <w:pPr>
        <w:spacing w:after="0" w:line="360" w:lineRule="auto"/>
        <w:ind w:firstLine="709"/>
        <w:jc w:val="center"/>
        <w:rPr>
          <w:sz w:val="20"/>
          <w:szCs w:val="20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0"/>
              <w:szCs w:val="20"/>
            </w:rPr>
            <m:t>∆IPC=0,162×20,98%=3,41%</m:t>
          </m:r>
        </m:oMath>
      </m:oMathPara>
    </w:p>
    <w:p w:rsidR="001C29FD" w:rsidRDefault="001C29FD" w:rsidP="001C29FD">
      <w:pPr>
        <w:spacing w:after="0" w:line="360" w:lineRule="auto"/>
        <w:ind w:firstLine="709"/>
        <w:jc w:val="center"/>
        <w:rPr>
          <w:sz w:val="20"/>
          <w:szCs w:val="20"/>
        </w:rPr>
      </w:pPr>
    </w:p>
    <w:p w:rsidR="001C29FD" w:rsidRDefault="001C29FD" w:rsidP="001C29FD">
      <w:pPr>
        <w:spacing w:after="0" w:line="36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E prossegue a análise técnica com a apuração do salário do motorista (figura 3) e a equação abaixo:</w:t>
      </w:r>
    </w:p>
    <w:p w:rsidR="001C29FD" w:rsidRDefault="001C29FD" w:rsidP="001C29FD">
      <w:pPr>
        <w:spacing w:after="0" w:line="360" w:lineRule="auto"/>
        <w:ind w:firstLine="709"/>
        <w:jc w:val="both"/>
      </w:pPr>
    </w:p>
    <w:p w:rsidR="001C29FD" w:rsidRPr="001C29FD" w:rsidRDefault="001C29FD" w:rsidP="001C29FD">
      <w:pPr>
        <w:spacing w:after="0" w:line="360" w:lineRule="auto"/>
        <w:ind w:firstLine="709"/>
        <w:jc w:val="center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∆ISM=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SMP-SMA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SMA</m:t>
                  </m:r>
                </m:den>
              </m:f>
            </m:e>
          </m:d>
          <m:r>
            <w:rPr>
              <w:rFonts w:ascii="Cambria Math" w:hAnsi="Cambria Math"/>
              <w:sz w:val="20"/>
              <w:szCs w:val="20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1.351,98-1.299,98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1.299,98</m:t>
                  </m:r>
                </m:den>
              </m:f>
            </m:e>
          </m:d>
          <m:r>
            <w:rPr>
              <w:rFonts w:ascii="Cambria Math" w:hAnsi="Cambria Math"/>
              <w:sz w:val="20"/>
              <w:szCs w:val="20"/>
            </w:rPr>
            <m:t>=4%</m:t>
          </m:r>
        </m:oMath>
      </m:oMathPara>
    </w:p>
    <w:p w:rsidR="001C29FD" w:rsidRPr="001C29FD" w:rsidRDefault="001C29FD" w:rsidP="001C29FD">
      <w:pPr>
        <w:spacing w:after="0" w:line="360" w:lineRule="auto"/>
        <w:ind w:firstLine="709"/>
        <w:jc w:val="center"/>
        <w:rPr>
          <w:sz w:val="20"/>
          <w:szCs w:val="20"/>
        </w:rPr>
      </w:pPr>
    </w:p>
    <w:p w:rsidR="001C29FD" w:rsidRPr="001C29FD" w:rsidRDefault="001C29FD" w:rsidP="001C29FD">
      <w:pPr>
        <w:ind w:firstLine="709"/>
        <w:rPr>
          <w:sz w:val="20"/>
          <w:szCs w:val="20"/>
        </w:rPr>
      </w:pPr>
      <w:r w:rsidRPr="001C29FD">
        <w:rPr>
          <w:sz w:val="20"/>
          <w:szCs w:val="20"/>
        </w:rPr>
        <w:t>Considerando então o peso de 65,17% atribuído ao custo com as despesas de pessoal através do salário dos motoristas, o impacto da variação do salário dos motoristas é de 2,61%. Assim como se verifica na equação a seguir.</w:t>
      </w:r>
    </w:p>
    <w:p w:rsidR="001C29FD" w:rsidRDefault="001C29FD" w:rsidP="001C29FD">
      <w:pPr>
        <w:spacing w:after="0" w:line="360" w:lineRule="auto"/>
        <w:ind w:left="1134"/>
        <w:jc w:val="center"/>
        <w:rPr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∆ISM=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4%×65,17%</m:t>
            </m:r>
          </m:e>
        </m:d>
        <m:r>
          <w:rPr>
            <w:rFonts w:ascii="Cambria Math" w:hAnsi="Cambria Math"/>
            <w:sz w:val="20"/>
            <w:szCs w:val="20"/>
          </w:rPr>
          <m:t>=2,61%</m:t>
        </m:r>
      </m:oMath>
      <w:r w:rsidRPr="001C29FD">
        <w:rPr>
          <w:sz w:val="20"/>
          <w:szCs w:val="20"/>
        </w:rPr>
        <w:t xml:space="preserve"> </w:t>
      </w:r>
    </w:p>
    <w:p w:rsidR="001C29FD" w:rsidRPr="001C29FD" w:rsidRDefault="001C29FD" w:rsidP="001C29FD">
      <w:pPr>
        <w:spacing w:after="0" w:line="360" w:lineRule="auto"/>
        <w:ind w:left="1134"/>
        <w:jc w:val="center"/>
      </w:pPr>
    </w:p>
    <w:p w:rsidR="001C29FD" w:rsidRDefault="001C29FD" w:rsidP="001C29FD">
      <w:pPr>
        <w:spacing w:after="0" w:line="360" w:lineRule="auto"/>
        <w:ind w:firstLine="709"/>
        <w:jc w:val="both"/>
      </w:pPr>
      <w:r w:rsidRPr="001C29FD">
        <w:t xml:space="preserve">Já para </w:t>
      </w:r>
      <w:r>
        <w:t>a apuração da variável dos valores dos índices dos veículos automotores buscou-se o</w:t>
      </w:r>
    </w:p>
    <w:p w:rsidR="001C29FD" w:rsidRDefault="001C29FD" w:rsidP="001C29FD">
      <w:pPr>
        <w:spacing w:after="0" w:line="360" w:lineRule="auto"/>
        <w:jc w:val="both"/>
      </w:pPr>
    </w:p>
    <w:p w:rsidR="001C29FD" w:rsidRDefault="001C29FD" w:rsidP="001C29FD">
      <w:pPr>
        <w:spacing w:after="0" w:line="360" w:lineRule="auto"/>
        <w:jc w:val="both"/>
      </w:pPr>
      <w:r>
        <w:t xml:space="preserve">, </w:t>
      </w:r>
    </w:p>
    <w:p w:rsidR="001C29FD" w:rsidRDefault="001C29FD" w:rsidP="001C29FD">
      <w:pPr>
        <w:spacing w:after="0" w:line="360" w:lineRule="auto"/>
        <w:ind w:firstLine="709"/>
        <w:jc w:val="both"/>
      </w:pPr>
      <w:r>
        <w:lastRenderedPageBreak/>
        <w:t xml:space="preserve"> Índice de Veículos Automotores, Reboques, Carrocerias e Autopeças, obser</w:t>
      </w:r>
      <w:r w:rsidR="003435D6">
        <w:t>vando-se o sempre aceitável índice calculado pela FGV, em comparação com o IVP, que restou representado pela equação:</w:t>
      </w:r>
    </w:p>
    <w:p w:rsidR="003435D6" w:rsidRPr="003435D6" w:rsidRDefault="003435D6" w:rsidP="003435D6">
      <w:pPr>
        <w:spacing w:after="0" w:line="360" w:lineRule="auto"/>
        <w:ind w:left="1134"/>
        <w:jc w:val="both"/>
        <w:rPr>
          <w:sz w:val="20"/>
          <w:szCs w:val="20"/>
        </w:rPr>
      </w:pPr>
    </w:p>
    <w:p w:rsidR="003435D6" w:rsidRPr="003435D6" w:rsidRDefault="003435D6" w:rsidP="003435D6">
      <w:pPr>
        <w:spacing w:after="0" w:line="360" w:lineRule="auto"/>
        <w:ind w:left="1134"/>
        <w:jc w:val="center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∆IV=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IVP-IVA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IVA</m:t>
                  </m:r>
                </m:den>
              </m:f>
            </m:e>
          </m:d>
          <m:r>
            <w:rPr>
              <w:rFonts w:ascii="Cambria Math" w:hAnsi="Cambria Math"/>
              <w:sz w:val="20"/>
              <w:szCs w:val="20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137,25-130,21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130,21</m:t>
                  </m:r>
                </m:den>
              </m:f>
            </m:e>
          </m:d>
          <m:r>
            <w:rPr>
              <w:rFonts w:ascii="Cambria Math" w:hAnsi="Cambria Math"/>
              <w:sz w:val="20"/>
              <w:szCs w:val="20"/>
            </w:rPr>
            <m:t>=5,4%</m:t>
          </m:r>
        </m:oMath>
      </m:oMathPara>
    </w:p>
    <w:p w:rsidR="003435D6" w:rsidRPr="003435D6" w:rsidRDefault="003435D6" w:rsidP="003435D6">
      <w:pPr>
        <w:spacing w:after="0" w:line="360" w:lineRule="auto"/>
        <w:ind w:left="1134"/>
        <w:jc w:val="center"/>
        <w:rPr>
          <w:sz w:val="20"/>
          <w:szCs w:val="20"/>
        </w:rPr>
      </w:pPr>
    </w:p>
    <w:p w:rsidR="003435D6" w:rsidRPr="003435D6" w:rsidRDefault="003435D6" w:rsidP="003435D6">
      <w:pPr>
        <w:spacing w:after="0"/>
        <w:ind w:left="1134"/>
        <w:rPr>
          <w:sz w:val="20"/>
          <w:szCs w:val="20"/>
        </w:rPr>
      </w:pPr>
      <w:r w:rsidRPr="003435D6">
        <w:rPr>
          <w:sz w:val="20"/>
          <w:szCs w:val="20"/>
        </w:rPr>
        <w:t>Considerando então o peso de 13,85% atribuído ao custo com as despesas de veículos, o impacto da variação do preço dos veículos é de 0,75%. Assim como se verifica na equação a seguir.</w:t>
      </w:r>
    </w:p>
    <w:p w:rsidR="003435D6" w:rsidRPr="003435D6" w:rsidRDefault="003435D6" w:rsidP="003435D6">
      <w:pPr>
        <w:spacing w:after="0" w:line="360" w:lineRule="auto"/>
        <w:ind w:left="1134"/>
        <w:jc w:val="both"/>
        <w:rPr>
          <w:sz w:val="20"/>
          <w:szCs w:val="20"/>
        </w:rPr>
      </w:pPr>
    </w:p>
    <w:p w:rsidR="003435D6" w:rsidRDefault="003435D6" w:rsidP="003435D6">
      <w:pPr>
        <w:spacing w:after="0" w:line="360" w:lineRule="auto"/>
        <w:ind w:left="1134"/>
        <w:jc w:val="center"/>
        <w:rPr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∆IV=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5,4%×13,85%</m:t>
            </m:r>
          </m:e>
        </m:d>
        <m:r>
          <w:rPr>
            <w:rFonts w:ascii="Cambria Math" w:hAnsi="Cambria Math"/>
            <w:sz w:val="20"/>
            <w:szCs w:val="20"/>
          </w:rPr>
          <m:t>=0,7%</m:t>
        </m:r>
      </m:oMath>
      <w:r>
        <w:rPr>
          <w:sz w:val="20"/>
          <w:szCs w:val="20"/>
        </w:rPr>
        <w:t>.</w:t>
      </w:r>
    </w:p>
    <w:p w:rsidR="003435D6" w:rsidRDefault="003435D6" w:rsidP="003435D6">
      <w:pPr>
        <w:spacing w:after="0" w:line="360" w:lineRule="auto"/>
        <w:ind w:left="1134"/>
        <w:jc w:val="center"/>
        <w:rPr>
          <w:sz w:val="20"/>
          <w:szCs w:val="20"/>
        </w:rPr>
      </w:pPr>
    </w:p>
    <w:p w:rsidR="003435D6" w:rsidRDefault="003435D6" w:rsidP="003435D6">
      <w:pPr>
        <w:spacing w:after="0" w:line="360" w:lineRule="auto"/>
        <w:ind w:firstLine="709"/>
        <w:jc w:val="both"/>
      </w:pPr>
      <w:r>
        <w:t xml:space="preserve">Outra variável de extrema importância é o IPKe – Índice de Passageiros por Quilometro Equivalente, que, por força do lapso temporal, tem a média apurada entre o mês de novembro de 2017 e outubro de 2018, por razões óbvias, deixando claro que o valores encaminhados e utilizados para o cálculo, foram validados, mês a mês, tanto pela agência reguladora como pelo SETERB, que detém a questão do contrato. </w:t>
      </w:r>
    </w:p>
    <w:p w:rsidR="003435D6" w:rsidRDefault="003435D6" w:rsidP="003435D6">
      <w:pPr>
        <w:spacing w:after="0" w:line="360" w:lineRule="auto"/>
        <w:ind w:firstLine="709"/>
        <w:jc w:val="both"/>
      </w:pPr>
      <w:r>
        <w:t>Ilustra técnica e didaticamente essa variante, o Quadro 5, que passa a ser representado pelo comentário e equação abaixo:</w:t>
      </w:r>
    </w:p>
    <w:p w:rsidR="003435D6" w:rsidRPr="00AA15B5" w:rsidRDefault="00AA15B5" w:rsidP="00AA15B5">
      <w:pPr>
        <w:spacing w:after="0" w:line="360" w:lineRule="auto"/>
        <w:ind w:left="1134"/>
        <w:jc w:val="both"/>
        <w:rPr>
          <w:b/>
          <w:sz w:val="20"/>
          <w:szCs w:val="20"/>
        </w:rPr>
      </w:pPr>
      <w:r w:rsidRPr="00AA15B5">
        <w:rPr>
          <w:b/>
          <w:sz w:val="20"/>
          <w:szCs w:val="20"/>
        </w:rPr>
        <w:t>“...</w:t>
      </w:r>
    </w:p>
    <w:p w:rsidR="003435D6" w:rsidRPr="00AA15B5" w:rsidRDefault="003435D6" w:rsidP="00AA15B5">
      <w:pPr>
        <w:spacing w:after="0" w:line="360" w:lineRule="auto"/>
        <w:ind w:left="1134"/>
        <w:jc w:val="both"/>
        <w:rPr>
          <w:sz w:val="20"/>
          <w:szCs w:val="20"/>
        </w:rPr>
      </w:pPr>
      <w:r w:rsidRPr="00AA15B5">
        <w:rPr>
          <w:sz w:val="20"/>
          <w:szCs w:val="20"/>
        </w:rPr>
        <w:t xml:space="preserve">Portanto, para o cálculo do reajuste, assegurando-se do cumprimento das exigências contratuais, utiliza-se para o IPKeP na equação o valor de </w:t>
      </w:r>
      <w:r w:rsidRPr="00AA15B5">
        <w:rPr>
          <w:b/>
          <w:sz w:val="20"/>
          <w:szCs w:val="20"/>
        </w:rPr>
        <w:t>1,462 pass.eq/km</w:t>
      </w:r>
      <w:r w:rsidRPr="00AA15B5">
        <w:rPr>
          <w:sz w:val="20"/>
          <w:szCs w:val="20"/>
        </w:rPr>
        <w:t>, este, representando uma variação positiva de aproximadamente 1,21% (um vírgula dezoito por cento) em relação ao IPKeA, 1,445 pass.eq/km. A equação abaixo apresenta estes dados.</w:t>
      </w:r>
    </w:p>
    <w:p w:rsidR="003435D6" w:rsidRPr="00AA15B5" w:rsidRDefault="003435D6" w:rsidP="00AA15B5">
      <w:pPr>
        <w:spacing w:after="0" w:line="360" w:lineRule="auto"/>
        <w:ind w:left="1134"/>
        <w:jc w:val="both"/>
        <w:rPr>
          <w:sz w:val="20"/>
          <w:szCs w:val="20"/>
        </w:rPr>
      </w:pPr>
    </w:p>
    <w:p w:rsidR="003435D6" w:rsidRPr="00AA15B5" w:rsidRDefault="003435D6" w:rsidP="00AA15B5">
      <w:pPr>
        <w:spacing w:after="0" w:line="360" w:lineRule="auto"/>
        <w:ind w:left="1134"/>
        <w:jc w:val="both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∆IPKe=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(IPKeP-IPKeA)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IPKeA</m:t>
                  </m:r>
                </m:den>
              </m:f>
            </m:e>
          </m:d>
          <m:r>
            <w:rPr>
              <w:rFonts w:ascii="Cambria Math" w:hAnsi="Cambria Math"/>
              <w:sz w:val="20"/>
              <w:szCs w:val="20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1,46249-1,445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1,445</m:t>
                  </m:r>
                </m:den>
              </m:f>
            </m:e>
          </m:d>
          <m:r>
            <w:rPr>
              <w:rFonts w:ascii="Cambria Math" w:hAnsi="Cambria Math"/>
              <w:sz w:val="20"/>
              <w:szCs w:val="20"/>
            </w:rPr>
            <m:t xml:space="preserve">=1,21% </m:t>
          </m:r>
        </m:oMath>
      </m:oMathPara>
    </w:p>
    <w:p w:rsidR="00AA15B5" w:rsidRDefault="00AA15B5" w:rsidP="00AA15B5">
      <w:pPr>
        <w:spacing w:after="0" w:line="360" w:lineRule="auto"/>
        <w:ind w:left="113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...”</w:t>
      </w:r>
    </w:p>
    <w:p w:rsidR="00AA15B5" w:rsidRPr="00AA15B5" w:rsidRDefault="00AA15B5" w:rsidP="00AA15B5">
      <w:pPr>
        <w:spacing w:after="0" w:line="360" w:lineRule="auto"/>
        <w:ind w:firstLine="851"/>
        <w:jc w:val="both"/>
        <w:rPr>
          <w:b/>
          <w:sz w:val="20"/>
          <w:szCs w:val="20"/>
        </w:rPr>
      </w:pPr>
    </w:p>
    <w:p w:rsidR="003435D6" w:rsidRPr="00AA15B5" w:rsidRDefault="003435D6" w:rsidP="00AA15B5">
      <w:pPr>
        <w:spacing w:after="0" w:line="360" w:lineRule="auto"/>
        <w:ind w:left="1134"/>
        <w:jc w:val="both"/>
        <w:rPr>
          <w:sz w:val="20"/>
          <w:szCs w:val="20"/>
        </w:rPr>
      </w:pPr>
    </w:p>
    <w:p w:rsidR="00AA15B5" w:rsidRDefault="00AA15B5" w:rsidP="00AA15B5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rPr>
          <w:b/>
        </w:rPr>
      </w:pPr>
      <w:r>
        <w:rPr>
          <w:b/>
        </w:rPr>
        <w:t>DO REAJUSTE APURADO</w:t>
      </w:r>
      <w:r>
        <w:rPr>
          <w:b/>
        </w:rPr>
        <w:t>:</w:t>
      </w:r>
    </w:p>
    <w:p w:rsidR="00AA15B5" w:rsidRDefault="00AA15B5" w:rsidP="00AA15B5">
      <w:pPr>
        <w:pStyle w:val="NormalWeb"/>
        <w:spacing w:before="0" w:beforeAutospacing="0" w:after="0" w:afterAutospacing="0" w:line="360" w:lineRule="auto"/>
        <w:ind w:firstLine="720"/>
        <w:jc w:val="both"/>
      </w:pPr>
      <w:r>
        <w:t>O reajuste, como já dito, apurado nos estritos contornos do Edital de Concorrência e nos termos do Contrato de Concessão nº 042/2017, de 18 de abril de 2017 e com base no Edital de Concorrência nº 038/2016, não leva em consideração tão somente o resultado apurado pela equação, que em tese seria normal, ao contrário, como já dito, leva ainda em consideração, obrigatoriamente, outros fatores e variáveis apontados, apurados e consolidados através das várias intervenções que no período</w:t>
      </w:r>
    </w:p>
    <w:p w:rsidR="00AA15B5" w:rsidRDefault="00AA15B5" w:rsidP="00AA15B5">
      <w:pPr>
        <w:pStyle w:val="NormalWeb"/>
        <w:spacing w:before="0" w:beforeAutospacing="0" w:after="0" w:afterAutospacing="0" w:line="360" w:lineRule="auto"/>
        <w:ind w:firstLine="720"/>
      </w:pPr>
    </w:p>
    <w:p w:rsidR="00AA15B5" w:rsidRDefault="00AA15B5" w:rsidP="00AA15B5">
      <w:pPr>
        <w:pStyle w:val="NormalWeb"/>
        <w:spacing w:before="0" w:beforeAutospacing="0" w:after="0" w:afterAutospacing="0" w:line="360" w:lineRule="auto"/>
        <w:ind w:firstLine="720"/>
        <w:jc w:val="both"/>
      </w:pPr>
      <w:r>
        <w:lastRenderedPageBreak/>
        <w:t>Impactaram economicamente a concessão, e que seria por demais temerário, permitir que tais variações só viessem a ser consideradas nos triênios da re</w:t>
      </w:r>
      <w:r w:rsidR="00112D87">
        <w:t>s</w:t>
      </w:r>
      <w:r>
        <w:t xml:space="preserve">cisão ordinária. Por outro lado, mesmo que em tese, as variações pudessem representar fator técnico de uma revisão extraordinária, o simples fato de se fazer o acompanhamento mensal, abriu a possibilidade de trazer </w:t>
      </w:r>
      <w:r w:rsidR="00112D87">
        <w:t>as variaçõ</w:t>
      </w:r>
      <w:r>
        <w:t xml:space="preserve">es, ou para mais ou </w:t>
      </w:r>
      <w:r w:rsidR="00112D87">
        <w:t>menos, para ajuste tarifário anual.</w:t>
      </w:r>
    </w:p>
    <w:p w:rsidR="00112D87" w:rsidRDefault="00112D87" w:rsidP="00AA15B5">
      <w:pPr>
        <w:pStyle w:val="NormalWeb"/>
        <w:spacing w:before="0" w:beforeAutospacing="0" w:after="0" w:afterAutospacing="0" w:line="360" w:lineRule="auto"/>
        <w:ind w:firstLine="720"/>
        <w:jc w:val="both"/>
      </w:pPr>
      <w:r>
        <w:t>Tal atitude foi acertada</w:t>
      </w:r>
      <w:r w:rsidR="00C87CBA">
        <w:t>,</w:t>
      </w:r>
      <w:r>
        <w:t xml:space="preserve"> tendo em vista sempre o menor impacto em desfavor ao usuário do sistema, dentro daquelas premissa</w:t>
      </w:r>
      <w:r w:rsidR="00C87CBA">
        <w:t>s da</w:t>
      </w:r>
      <w:r>
        <w:t xml:space="preserve"> necessária transparência</w:t>
      </w:r>
      <w:r w:rsidR="00C87CBA">
        <w:t>, sem colocar em risco o sistema como um todo e ao mesmo tempo permitir que a gestão do contrato ocorra sempre como exige a legislação vigente. Por isso, as medidas tomadas exigiram a realização de consultas e audiências públicas e a ampla divulgação.</w:t>
      </w:r>
    </w:p>
    <w:p w:rsidR="00C87CBA" w:rsidRDefault="00C87CBA" w:rsidP="00AA15B5">
      <w:pPr>
        <w:pStyle w:val="NormalWeb"/>
        <w:spacing w:before="0" w:beforeAutospacing="0" w:after="0" w:afterAutospacing="0" w:line="360" w:lineRule="auto"/>
        <w:ind w:firstLine="720"/>
        <w:jc w:val="both"/>
      </w:pPr>
      <w:r>
        <w:t>Convém fazer constar desta decisão, que através da Comissão Especial criada, foram tomadas várias decisões, visando otimizar a u</w:t>
      </w:r>
      <w:r w:rsidR="00AB47EF">
        <w:t>tilização do</w:t>
      </w:r>
      <w:r>
        <w:t xml:space="preserve"> sistema e, principalmente, sempre tendo como foco maior, a redução e ou manutenção da tarifa e ao mesmo tempo assegurar o cumprimento do contrato e com isso fazer com que o sistema</w:t>
      </w:r>
      <w:r w:rsidR="00AB47EF">
        <w:t>, como um todo</w:t>
      </w:r>
      <w:r>
        <w:t>, não entre em colapso.</w:t>
      </w:r>
    </w:p>
    <w:p w:rsidR="00AB47EF" w:rsidRDefault="00AB47EF" w:rsidP="00AA15B5">
      <w:pPr>
        <w:pStyle w:val="NormalWeb"/>
        <w:spacing w:before="0" w:beforeAutospacing="0" w:after="0" w:afterAutospacing="0" w:line="360" w:lineRule="auto"/>
        <w:ind w:firstLine="720"/>
        <w:jc w:val="both"/>
      </w:pPr>
      <w:r>
        <w:t xml:space="preserve">De acordo com as medidas apuradas e implementadas por força das ações da Comissão Especial, como a compactação de linhas, a aglutinação destas, a mudança de determinadas exigências técnicas da frota, a utilização de parte dos recursos da pintura de ônibus antigos para melhorias na comunicação visual dos terminais, sinalização dos terminais e outras medidas, criou-se a real condição de uma redução direta na tarifa, no valor de R$ 0,09 (nove centavos de real). Tal redução, como determinado pela Comissão e pelo resultado da audiência pública, deve ser reduzida agora na tarifa apurada do reajuste anual, que pela equação contratual resultou na tarifa de R$ 4,31 (quatro reais e trinta e um centavos). Como aplica-se o arredondamento, o valor base fica em R$ 4,30 (quatro reais e trinta centavos). </w:t>
      </w:r>
    </w:p>
    <w:p w:rsidR="00AB47EF" w:rsidRDefault="00AB47EF" w:rsidP="00AA15B5">
      <w:pPr>
        <w:pStyle w:val="NormalWeb"/>
        <w:spacing w:before="0" w:beforeAutospacing="0" w:after="0" w:afterAutospacing="0" w:line="360" w:lineRule="auto"/>
        <w:ind w:firstLine="720"/>
        <w:jc w:val="both"/>
      </w:pPr>
      <w:r>
        <w:t>Esse o valor apurado pelas variações econômicas-financeiras previstas no edital e aplicadas ao contrato de concessão vigente.</w:t>
      </w:r>
    </w:p>
    <w:p w:rsidR="00AB47EF" w:rsidRDefault="00AB47EF" w:rsidP="00AA15B5">
      <w:pPr>
        <w:pStyle w:val="NormalWeb"/>
        <w:spacing w:before="0" w:beforeAutospacing="0" w:after="0" w:afterAutospacing="0" w:line="360" w:lineRule="auto"/>
        <w:ind w:firstLine="720"/>
        <w:jc w:val="both"/>
      </w:pPr>
      <w:r>
        <w:t>Como acima dito, a Comissão Especial, em seu trabalho, apurou uma redução de R$ 0,09 (nove centavos de reais) e por isso o valor, deduzido esses centavos, fica em</w:t>
      </w:r>
      <w:r w:rsidR="00D647E2">
        <w:t xml:space="preserve"> R$ 4,22 (quatro reais e vinte e dois centavos), e, novamente aplica-se o redutor de arredondamento que coloca a tarifa no valor de R$ 2,20 (dois reais e vinte centavos) à ser praticada à partir 1º de dezembro de 2018. Em termos reais, há um acréscimo de R$ 0,10 (dez centavos de real), uma vez que a tarifa básica fixada em dezembro de 2017 foi de R$ 4,10 (quatro reais e dez centavos). </w:t>
      </w:r>
    </w:p>
    <w:p w:rsidR="00D647E2" w:rsidRDefault="00D647E2" w:rsidP="00AA15B5">
      <w:pPr>
        <w:pStyle w:val="NormalWeb"/>
        <w:spacing w:before="0" w:beforeAutospacing="0" w:after="0" w:afterAutospacing="0" w:line="360" w:lineRule="auto"/>
        <w:ind w:firstLine="720"/>
        <w:jc w:val="both"/>
      </w:pPr>
    </w:p>
    <w:p w:rsidR="00D647E2" w:rsidRDefault="00D647E2" w:rsidP="00AA15B5">
      <w:pPr>
        <w:pStyle w:val="NormalWeb"/>
        <w:spacing w:before="0" w:beforeAutospacing="0" w:after="0" w:afterAutospacing="0" w:line="360" w:lineRule="auto"/>
        <w:ind w:firstLine="720"/>
        <w:jc w:val="both"/>
      </w:pPr>
      <w:r>
        <w:lastRenderedPageBreak/>
        <w:t xml:space="preserve">Saliente-se eu naquela oportunidade, a AGIR, já vislumbrando certa margem de manobra, determinou de imediato a redução de R$ 0,05 </w:t>
      </w:r>
      <w:bookmarkStart w:id="0" w:name="_GoBack"/>
      <w:bookmarkEnd w:id="0"/>
      <w:r>
        <w:t xml:space="preserve">(cinco centavos de real) na tarifa apurada. </w:t>
      </w:r>
    </w:p>
    <w:p w:rsidR="00D647E2" w:rsidRDefault="00D647E2" w:rsidP="00AA15B5">
      <w:pPr>
        <w:pStyle w:val="NormalWeb"/>
        <w:spacing w:before="0" w:beforeAutospacing="0" w:after="0" w:afterAutospacing="0" w:line="360" w:lineRule="auto"/>
        <w:ind w:firstLine="720"/>
        <w:jc w:val="both"/>
      </w:pPr>
      <w:r>
        <w:t xml:space="preserve">Essa manobra financeira, em tese criava em favor da Concessionária </w:t>
      </w:r>
    </w:p>
    <w:p w:rsidR="00C87CBA" w:rsidRDefault="00C87CBA" w:rsidP="00AA15B5">
      <w:pPr>
        <w:pStyle w:val="NormalWeb"/>
        <w:spacing w:before="0" w:beforeAutospacing="0" w:after="0" w:afterAutospacing="0" w:line="360" w:lineRule="auto"/>
        <w:ind w:firstLine="720"/>
        <w:jc w:val="both"/>
      </w:pPr>
    </w:p>
    <w:p w:rsidR="00AA15B5" w:rsidRDefault="00AA15B5" w:rsidP="00AA15B5">
      <w:pPr>
        <w:pStyle w:val="NormalWeb"/>
        <w:spacing w:before="0" w:beforeAutospacing="0" w:after="0" w:afterAutospacing="0" w:line="360" w:lineRule="auto"/>
        <w:ind w:firstLine="720"/>
      </w:pPr>
    </w:p>
    <w:p w:rsidR="00AA15B5" w:rsidRPr="00AA15B5" w:rsidRDefault="00AA15B5" w:rsidP="00AA15B5">
      <w:pPr>
        <w:pStyle w:val="NormalWeb"/>
        <w:spacing w:before="0" w:beforeAutospacing="0" w:after="0" w:afterAutospacing="0" w:line="360" w:lineRule="auto"/>
        <w:ind w:firstLine="720"/>
      </w:pPr>
    </w:p>
    <w:p w:rsidR="00AA15B5" w:rsidRDefault="00AA15B5" w:rsidP="00AA15B5">
      <w:pPr>
        <w:pStyle w:val="NormalWeb"/>
        <w:spacing w:before="0" w:beforeAutospacing="0" w:after="0" w:afterAutospacing="0" w:line="360" w:lineRule="auto"/>
        <w:ind w:firstLine="720"/>
        <w:rPr>
          <w:b/>
        </w:rPr>
      </w:pPr>
    </w:p>
    <w:p w:rsidR="00AA15B5" w:rsidRDefault="00AA15B5" w:rsidP="00AA15B5">
      <w:pPr>
        <w:pStyle w:val="NormalWeb"/>
        <w:spacing w:before="0" w:beforeAutospacing="0" w:after="0" w:afterAutospacing="0" w:line="360" w:lineRule="auto"/>
        <w:ind w:left="720"/>
        <w:rPr>
          <w:b/>
        </w:rPr>
      </w:pPr>
    </w:p>
    <w:p w:rsidR="003435D6" w:rsidRPr="003435D6" w:rsidRDefault="003435D6" w:rsidP="003435D6">
      <w:pPr>
        <w:spacing w:after="0" w:line="360" w:lineRule="auto"/>
        <w:ind w:firstLine="709"/>
        <w:jc w:val="both"/>
      </w:pPr>
    </w:p>
    <w:p w:rsidR="003435D6" w:rsidRPr="003435D6" w:rsidRDefault="003435D6" w:rsidP="003435D6">
      <w:pPr>
        <w:spacing w:after="0" w:line="360" w:lineRule="auto"/>
        <w:ind w:left="1134"/>
        <w:jc w:val="both"/>
        <w:rPr>
          <w:sz w:val="20"/>
          <w:szCs w:val="20"/>
        </w:rPr>
      </w:pPr>
    </w:p>
    <w:p w:rsidR="001C29FD" w:rsidRPr="003435D6" w:rsidRDefault="001C29FD" w:rsidP="003435D6">
      <w:pPr>
        <w:spacing w:after="0" w:line="360" w:lineRule="auto"/>
        <w:ind w:left="1134"/>
        <w:jc w:val="both"/>
        <w:rPr>
          <w:sz w:val="20"/>
          <w:szCs w:val="20"/>
        </w:rPr>
      </w:pPr>
    </w:p>
    <w:p w:rsidR="001C29FD" w:rsidRPr="001C29FD" w:rsidRDefault="001C29FD" w:rsidP="001C29FD">
      <w:pPr>
        <w:spacing w:after="0" w:line="360" w:lineRule="auto"/>
        <w:ind w:firstLine="709"/>
        <w:jc w:val="both"/>
        <w:rPr>
          <w:sz w:val="20"/>
          <w:szCs w:val="20"/>
        </w:rPr>
      </w:pPr>
    </w:p>
    <w:p w:rsidR="001C29FD" w:rsidRPr="001C29FD" w:rsidRDefault="001C29FD" w:rsidP="00023C27">
      <w:pPr>
        <w:spacing w:after="0" w:line="360" w:lineRule="auto"/>
        <w:ind w:firstLine="709"/>
        <w:jc w:val="both"/>
      </w:pPr>
    </w:p>
    <w:p w:rsidR="00023C27" w:rsidRPr="00BF5CC2" w:rsidRDefault="00023C27" w:rsidP="00023C27">
      <w:pPr>
        <w:pStyle w:val="NormalWeb"/>
        <w:spacing w:before="0" w:beforeAutospacing="0" w:after="0" w:afterAutospacing="0" w:line="360" w:lineRule="auto"/>
        <w:ind w:firstLine="720"/>
      </w:pPr>
      <w:r>
        <w:t xml:space="preserve"> </w:t>
      </w:r>
    </w:p>
    <w:p w:rsidR="00222F99" w:rsidRDefault="00222F99" w:rsidP="00222F99">
      <w:pPr>
        <w:spacing w:line="360" w:lineRule="auto"/>
        <w:jc w:val="both"/>
      </w:pPr>
    </w:p>
    <w:p w:rsidR="004B66D5" w:rsidRDefault="004B66D5" w:rsidP="004428A9">
      <w:pPr>
        <w:spacing w:line="360" w:lineRule="auto"/>
        <w:jc w:val="both"/>
      </w:pPr>
    </w:p>
    <w:p w:rsidR="00A06040" w:rsidRDefault="00A06040" w:rsidP="004428A9">
      <w:pPr>
        <w:spacing w:line="360" w:lineRule="auto"/>
        <w:ind w:firstLine="851"/>
      </w:pPr>
    </w:p>
    <w:p w:rsidR="00A06040" w:rsidRDefault="00A06040" w:rsidP="004D36B5">
      <w:pPr>
        <w:ind w:firstLine="851"/>
      </w:pPr>
    </w:p>
    <w:p w:rsidR="00A06040" w:rsidRDefault="00A06040" w:rsidP="004D36B5">
      <w:pPr>
        <w:ind w:firstLine="851"/>
      </w:pPr>
    </w:p>
    <w:p w:rsidR="00A06040" w:rsidRDefault="00A06040" w:rsidP="00E51860">
      <w:pPr>
        <w:spacing w:line="360" w:lineRule="auto"/>
        <w:ind w:firstLine="1134"/>
        <w:jc w:val="both"/>
        <w:rPr>
          <w:i/>
          <w:sz w:val="20"/>
          <w:szCs w:val="20"/>
        </w:rPr>
      </w:pPr>
    </w:p>
    <w:p w:rsidR="00E51860" w:rsidRDefault="00E51860" w:rsidP="00E51860">
      <w:pPr>
        <w:spacing w:line="360" w:lineRule="auto"/>
        <w:ind w:firstLine="1134"/>
        <w:jc w:val="both"/>
      </w:pPr>
      <w:r>
        <w:t xml:space="preserve">Após a juntada daquele </w:t>
      </w:r>
      <w:r w:rsidR="00C55275">
        <w:t>parecer, foi acostado o Parecer Jurídico nº 070/2017, que aponta os textos legais a serem observados, bem como explora, corretamente, aspectos do edital e também aborda o Parecer Administrativo e, conclui pelo indeferimento ao pleito de revisão extraordinária, com fundamento nas normas contratuais aplicáveis.</w:t>
      </w:r>
    </w:p>
    <w:p w:rsidR="00C55275" w:rsidRPr="00C55275" w:rsidRDefault="00C55275" w:rsidP="00E51860">
      <w:pPr>
        <w:spacing w:line="360" w:lineRule="auto"/>
        <w:ind w:firstLine="1134"/>
        <w:jc w:val="both"/>
        <w:rPr>
          <w:b/>
        </w:rPr>
      </w:pPr>
    </w:p>
    <w:p w:rsidR="00C55275" w:rsidRDefault="00C55275" w:rsidP="00C55275">
      <w:pPr>
        <w:spacing w:line="360" w:lineRule="auto"/>
        <w:jc w:val="both"/>
        <w:rPr>
          <w:b/>
        </w:rPr>
      </w:pPr>
      <w:r w:rsidRPr="00C55275">
        <w:rPr>
          <w:b/>
        </w:rPr>
        <w:t>DA DECISÃO</w:t>
      </w:r>
    </w:p>
    <w:p w:rsidR="00831A42" w:rsidRDefault="00C55275" w:rsidP="00C55275">
      <w:pPr>
        <w:spacing w:line="360" w:lineRule="auto"/>
        <w:ind w:firstLine="1134"/>
        <w:jc w:val="both"/>
      </w:pPr>
      <w:r>
        <w:t xml:space="preserve">O Procedimento Administrativo aberto no dia 11 de outubro de 2017, deu início a análise desta Agência Reguladora, ao pedido de </w:t>
      </w:r>
      <w:r w:rsidR="00A11C18">
        <w:t xml:space="preserve">Revisão Extraordinária apresentado pela detentora do serviço de concessão do transporte coletivo de Blumenau, BLUMOB, tendo como argumento técnico de que </w:t>
      </w:r>
      <w:r w:rsidR="00A11C18">
        <w:lastRenderedPageBreak/>
        <w:t xml:space="preserve">com a edição do Decreto </w:t>
      </w:r>
      <w:r w:rsidR="00F453C8">
        <w:t>Federal n.º</w:t>
      </w:r>
      <w:r w:rsidR="00A11C18">
        <w:t xml:space="preserve"> 9.101, ocorreu a alteração do Decreto Federal nº 5.059/2004, determinado </w:t>
      </w:r>
      <w:r w:rsidR="000D07D4">
        <w:t xml:space="preserve">a alteração/aumento da alíquota </w:t>
      </w:r>
      <w:r w:rsidR="00F453C8">
        <w:t>do</w:t>
      </w:r>
      <w:r w:rsidR="000D07D4">
        <w:t xml:space="preserve"> PIS e da COFINS. Sustenta a concessionário em seu pleito que tal modificação (para maior) daquelas alíquotas, acarretou aumento de preço do combustível </w:t>
      </w:r>
    </w:p>
    <w:p w:rsidR="00C55275" w:rsidRDefault="000D07D4" w:rsidP="00831A42">
      <w:pPr>
        <w:spacing w:line="360" w:lineRule="auto"/>
        <w:jc w:val="both"/>
      </w:pPr>
      <w:r>
        <w:t>utilizado na frota e que tal situação não era previsível e nem sazonal e por isso o direito a ser reconhecido.</w:t>
      </w:r>
    </w:p>
    <w:p w:rsidR="004D36B5" w:rsidRDefault="000D07D4" w:rsidP="00626024">
      <w:pPr>
        <w:spacing w:line="360" w:lineRule="auto"/>
        <w:ind w:firstLine="1134"/>
        <w:jc w:val="both"/>
      </w:pPr>
      <w:r>
        <w:t xml:space="preserve">Não se pode negar, dadas as características da Concessão, que cabe direito ao pedido de reequilíbrio do contrato, direito esse assegurado tanto pelas normas editalícias com pelas cláusulas contratuais posteriormente </w:t>
      </w:r>
      <w:r w:rsidR="00626024">
        <w:t>firmadas. Também deve ser reconhecido que a alteração das alíquotas contempladas no Decreto nº 9.101/2017 teve impacto direito sobre custos e receitas, além do que, a Matriz de Riscos também contempla a situação.</w:t>
      </w:r>
    </w:p>
    <w:p w:rsidR="00626024" w:rsidRDefault="00626024" w:rsidP="00626024">
      <w:pPr>
        <w:spacing w:line="360" w:lineRule="auto"/>
        <w:ind w:firstLine="1134"/>
        <w:jc w:val="both"/>
      </w:pPr>
      <w:r>
        <w:t>Há de ficar constado, e assim o tema passa a ser analisado, que o pedido deve ser tratado como revisão e não como reajuste, vez que atinge a apuração de eventual desiquilíbrio ou não do contrato.</w:t>
      </w:r>
    </w:p>
    <w:p w:rsidR="00626024" w:rsidRDefault="007B1800" w:rsidP="00626024">
      <w:pPr>
        <w:spacing w:line="360" w:lineRule="auto"/>
        <w:ind w:firstLine="1134"/>
        <w:jc w:val="both"/>
      </w:pPr>
      <w:r>
        <w:t>O tema é por isso, assim tratad</w:t>
      </w:r>
      <w:r w:rsidR="00B17C7D">
        <w:t>o no Parecer Administrativo n º</w:t>
      </w:r>
      <w:r>
        <w:t xml:space="preserve"> 036/2017:</w:t>
      </w:r>
    </w:p>
    <w:p w:rsidR="00DF0DE9" w:rsidRDefault="00DF0DE9" w:rsidP="00B17C7D">
      <w:pPr>
        <w:spacing w:line="360" w:lineRule="auto"/>
        <w:ind w:left="1701"/>
        <w:jc w:val="both"/>
        <w:rPr>
          <w:i/>
          <w:sz w:val="20"/>
          <w:szCs w:val="20"/>
        </w:rPr>
      </w:pPr>
      <w:r w:rsidRPr="00B17C7D">
        <w:rPr>
          <w:i/>
          <w:sz w:val="20"/>
          <w:szCs w:val="20"/>
        </w:rPr>
        <w:t>Para efeito de compreensão, considerando o preço apresentado pela Concessionária, na solicitação de reequilíbrio de Contrato, de 04 de agosto de 2017, enviada ao SETERB, onde o preço do Diesel em dezembro de 2016, segundo ANP, era no valor de R$ 2,53 (dois reais e cinquenta e três centavos), com o aumento tributário pleiteado, o valor do Diesel, segundo o pedido da Concessionária passará para R$ 2,75 (dois reais e setenta e cinco centavos). Alterando assim, o valor do preço do litro de Diesel, na aba OPEX Variável, coluna C, linha 20, passando do preço de R$ 2,70 (dois reais e setenta centavos) (Edital e proposta), para o valor de R$ 2,75 (dois reais e setenta e cinco centavos), a tarifa praticada passaria para R$ 3,91 (três reais e noventa e um centavos), indicada na aba Resumo Tarifa, coluna C, linha 12, ou seja, uma diferença de R$ 0,01 (um centavo) no valor da tarifa.</w:t>
      </w:r>
    </w:p>
    <w:p w:rsidR="00B17C7D" w:rsidRDefault="00B17C7D" w:rsidP="00B17C7D">
      <w:pPr>
        <w:spacing w:line="360" w:lineRule="auto"/>
        <w:ind w:left="1701"/>
        <w:jc w:val="both"/>
        <w:rPr>
          <w:sz w:val="20"/>
          <w:szCs w:val="20"/>
        </w:rPr>
      </w:pPr>
      <w:r w:rsidRPr="00B17C7D">
        <w:rPr>
          <w:i/>
          <w:sz w:val="20"/>
          <w:szCs w:val="20"/>
        </w:rPr>
        <w:t>Atente-se, outrossim, que a alteração da tarifa pública pela prestação dos serviços públicos de transporte coletivo de passageiros, no valor de R$ 3,91 (três reais e noventa e um centavos), cujo valor obviamente trará complicações a Concessionária e eventual prejuízo aos usuários/consumidores, quando o pagamento da tarifa ocorrer em dinheiro e a correlata entrega do troco ao usuário, notadamente se considerarmos a relativa escassez das moedas de R$ 0,01 (um centavo</w:t>
      </w:r>
      <w:r w:rsidRPr="00B17C7D">
        <w:rPr>
          <w:sz w:val="20"/>
          <w:szCs w:val="20"/>
        </w:rPr>
        <w:t xml:space="preserve">). </w:t>
      </w:r>
    </w:p>
    <w:p w:rsidR="00B17C7D" w:rsidRDefault="00B17C7D" w:rsidP="00B17C7D">
      <w:pPr>
        <w:spacing w:line="360" w:lineRule="auto"/>
        <w:ind w:firstLine="1276"/>
        <w:jc w:val="both"/>
      </w:pPr>
      <w:r>
        <w:t>Feitas as análises e projeções econômico/financeiras, há o convencimento que a alteração das alíquotas do PIS e da CONFINS, não resulta em desiquilíbrio contratual</w:t>
      </w:r>
      <w:r w:rsidR="00B87C6D">
        <w:t xml:space="preserve"> econômico financeiro para </w:t>
      </w:r>
      <w:r w:rsidR="00B87C6D">
        <w:lastRenderedPageBreak/>
        <w:t>a Concessão, além do que, o fluxo de caixa da Concessionário tem capacidade para suportar o referido aumento.</w:t>
      </w:r>
    </w:p>
    <w:p w:rsidR="00831A42" w:rsidRDefault="00831A42" w:rsidP="00B17C7D">
      <w:pPr>
        <w:spacing w:line="360" w:lineRule="auto"/>
        <w:ind w:firstLine="1276"/>
        <w:jc w:val="both"/>
      </w:pPr>
    </w:p>
    <w:p w:rsidR="00831A42" w:rsidRDefault="00B87C6D" w:rsidP="00B17C7D">
      <w:pPr>
        <w:spacing w:line="360" w:lineRule="auto"/>
        <w:ind w:firstLine="1276"/>
        <w:jc w:val="both"/>
      </w:pPr>
      <w:r>
        <w:t>A Co</w:t>
      </w:r>
      <w:r w:rsidR="00831A42">
        <w:t>nstituição Federal, art. 37, in</w:t>
      </w:r>
      <w:r>
        <w:t>cisos XXI, a Lei 8.666/93, em seus artigos de nº 65</w:t>
      </w:r>
      <w:r w:rsidR="00006B0C">
        <w:t xml:space="preserve">, incisos II, letras “d”, o Edital nº 038/2016, em seu Anexo V, item </w:t>
      </w:r>
      <w:r w:rsidR="006534CF">
        <w:t>3,</w:t>
      </w:r>
      <w:r w:rsidR="00006B0C">
        <w:t xml:space="preserve"> </w:t>
      </w:r>
      <w:r w:rsidR="006534CF">
        <w:t>subitem</w:t>
      </w:r>
      <w:r w:rsidR="00006B0C">
        <w:t xml:space="preserve"> 3.4, letras a, b e c, Anexo VI, itens 33 e 43, o o Contrato nº 042/2017, em sua Cláusula Vigésima Nona, dão o contorno e o </w:t>
      </w:r>
      <w:r w:rsidR="006534CF">
        <w:t>amparo legal</w:t>
      </w:r>
      <w:r w:rsidR="00006B0C">
        <w:t xml:space="preserve"> que leva a essa decisão</w:t>
      </w:r>
      <w:r w:rsidR="004F7AE3">
        <w:t>:</w:t>
      </w:r>
    </w:p>
    <w:p w:rsidR="00006B0C" w:rsidRDefault="004F7AE3" w:rsidP="00B17C7D">
      <w:pPr>
        <w:spacing w:line="360" w:lineRule="auto"/>
        <w:ind w:firstLine="1276"/>
        <w:jc w:val="both"/>
      </w:pPr>
      <w:r w:rsidRPr="004F7AE3">
        <w:rPr>
          <w:b/>
        </w:rPr>
        <w:t xml:space="preserve">I - </w:t>
      </w:r>
      <w:r w:rsidR="00925313" w:rsidRPr="005E1AA5">
        <w:rPr>
          <w:b/>
          <w:u w:val="single"/>
        </w:rPr>
        <w:t>IND</w:t>
      </w:r>
      <w:r w:rsidR="00006B0C" w:rsidRPr="005E1AA5">
        <w:rPr>
          <w:b/>
          <w:u w:val="single"/>
        </w:rPr>
        <w:t>E</w:t>
      </w:r>
      <w:r w:rsidR="00925313" w:rsidRPr="005E1AA5">
        <w:rPr>
          <w:b/>
          <w:u w:val="single"/>
        </w:rPr>
        <w:t>FE</w:t>
      </w:r>
      <w:r w:rsidR="00006B0C" w:rsidRPr="005E1AA5">
        <w:rPr>
          <w:b/>
          <w:u w:val="single"/>
        </w:rPr>
        <w:t>RE-</w:t>
      </w:r>
      <w:r w:rsidR="00925313" w:rsidRPr="005E1AA5">
        <w:rPr>
          <w:b/>
          <w:u w:val="single"/>
        </w:rPr>
        <w:t>SE</w:t>
      </w:r>
      <w:r w:rsidRPr="004F7AE3">
        <w:t xml:space="preserve">, </w:t>
      </w:r>
      <w:r>
        <w:t>p</w:t>
      </w:r>
      <w:r w:rsidR="00831A42" w:rsidRPr="004F7AE3">
        <w:t>ortanto</w:t>
      </w:r>
      <w:r>
        <w:t>,</w:t>
      </w:r>
      <w:r w:rsidR="00831A42" w:rsidRPr="004F7AE3">
        <w:t xml:space="preserve"> o pedido de reequilíbrio econômico financeiro</w:t>
      </w:r>
      <w:r w:rsidR="00006B0C" w:rsidRPr="004F7AE3">
        <w:t>,</w:t>
      </w:r>
      <w:r w:rsidR="00006B0C">
        <w:t xml:space="preserve"> </w:t>
      </w:r>
      <w:r w:rsidR="00BF6301">
        <w:t xml:space="preserve">tratado como </w:t>
      </w:r>
      <w:r w:rsidR="00925313">
        <w:t>revisão tarifária extraordinária</w:t>
      </w:r>
      <w:r w:rsidR="00BF6301">
        <w:t xml:space="preserve">, por entender que não ocorre o desequilíbrio econômico financeiro da concessão dos serviços de transporte coletivo urbano de </w:t>
      </w:r>
      <w:r w:rsidR="0008533F">
        <w:t>B</w:t>
      </w:r>
      <w:r w:rsidR="00AF0020">
        <w:t>lumenau, operada por</w:t>
      </w:r>
      <w:r w:rsidR="00BF6301">
        <w:t xml:space="preserve"> </w:t>
      </w:r>
      <w:r w:rsidR="00BF6301" w:rsidRPr="00AF0020">
        <w:rPr>
          <w:b/>
        </w:rPr>
        <w:t>BLUMOB CONCESSIONÁRIA DE TRANSPORTE URBANO DE BLUMENAU SPE LTDA</w:t>
      </w:r>
      <w:r w:rsidR="00BF6301">
        <w:t>.</w:t>
      </w:r>
    </w:p>
    <w:p w:rsidR="00AF0020" w:rsidRDefault="00925313" w:rsidP="00B17C7D">
      <w:pPr>
        <w:spacing w:line="360" w:lineRule="auto"/>
        <w:ind w:firstLine="1276"/>
        <w:jc w:val="both"/>
      </w:pPr>
      <w:r>
        <w:t>Por outro lado, em havendo necessidade, essa variação dos preços</w:t>
      </w:r>
      <w:r w:rsidR="004F7AE3">
        <w:t>, havida</w:t>
      </w:r>
      <w:r>
        <w:t xml:space="preserve"> por força </w:t>
      </w:r>
      <w:r w:rsidR="004F7AE3">
        <w:t>da elevação do PIS e da COFINS,</w:t>
      </w:r>
      <w:r>
        <w:t xml:space="preserve"> mediante devida comprovação, </w:t>
      </w:r>
      <w:r w:rsidR="00AF0020">
        <w:t xml:space="preserve">poderá ser </w:t>
      </w:r>
      <w:r>
        <w:t>devidamente compensada quando da revisão ordiná</w:t>
      </w:r>
      <w:r w:rsidR="00AF0020">
        <w:t xml:space="preserve">ria do contrato, mantendo-se </w:t>
      </w:r>
      <w:r>
        <w:t>inalterada</w:t>
      </w:r>
      <w:r w:rsidR="004F7AE3">
        <w:t>,</w:t>
      </w:r>
      <w:r>
        <w:t xml:space="preserve"> o valor da tarifa</w:t>
      </w:r>
      <w:r w:rsidR="00AF0020">
        <w:t xml:space="preserve"> ora</w:t>
      </w:r>
      <w:r>
        <w:t xml:space="preserve"> pratica</w:t>
      </w:r>
      <w:r w:rsidR="00AF0020">
        <w:t>da.</w:t>
      </w:r>
    </w:p>
    <w:p w:rsidR="00ED5FC4" w:rsidRPr="006542D4" w:rsidRDefault="005E1AA5" w:rsidP="00ED5FC4">
      <w:pPr>
        <w:spacing w:after="0" w:line="360" w:lineRule="auto"/>
        <w:ind w:firstLine="1276"/>
        <w:jc w:val="both"/>
        <w:rPr>
          <w:bCs/>
        </w:rPr>
      </w:pPr>
      <w:r w:rsidRPr="006542D4">
        <w:rPr>
          <w:bCs/>
        </w:rPr>
        <w:t xml:space="preserve">A presente Decisão entra em vigor a partir da sua publicação no Diário Oficial dos Municípios (DOM), órgão </w:t>
      </w:r>
      <w:r w:rsidR="00ED5FC4">
        <w:rPr>
          <w:bCs/>
        </w:rPr>
        <w:t xml:space="preserve">de publicidade oficial da AGIR e está disponível </w:t>
      </w:r>
      <w:r w:rsidR="00ED5FC4" w:rsidRPr="006542D4">
        <w:rPr>
          <w:bCs/>
        </w:rPr>
        <w:t xml:space="preserve">no site da AGIR, qual seja </w:t>
      </w:r>
      <w:hyperlink r:id="rId9" w:history="1">
        <w:r w:rsidR="00ED5FC4" w:rsidRPr="006542D4">
          <w:rPr>
            <w:rStyle w:val="Hyperlink"/>
            <w:bCs/>
          </w:rPr>
          <w:t>www.agir.sc.gov.br</w:t>
        </w:r>
      </w:hyperlink>
      <w:r w:rsidR="00ED5FC4" w:rsidRPr="006542D4">
        <w:rPr>
          <w:bCs/>
        </w:rPr>
        <w:t>.</w:t>
      </w:r>
    </w:p>
    <w:p w:rsidR="00ED5FC4" w:rsidRDefault="00ED5FC4" w:rsidP="005E1AA5">
      <w:pPr>
        <w:spacing w:after="0" w:line="360" w:lineRule="auto"/>
        <w:ind w:firstLine="1276"/>
        <w:jc w:val="both"/>
        <w:rPr>
          <w:bCs/>
        </w:rPr>
      </w:pPr>
    </w:p>
    <w:p w:rsidR="00ED5FC4" w:rsidRDefault="00ED5FC4" w:rsidP="005E1AA5">
      <w:pPr>
        <w:spacing w:after="0" w:line="360" w:lineRule="auto"/>
        <w:ind w:firstLine="1276"/>
        <w:jc w:val="both"/>
        <w:rPr>
          <w:bCs/>
        </w:rPr>
      </w:pPr>
      <w:r w:rsidRPr="00ED5FC4">
        <w:rPr>
          <w:bCs/>
        </w:rPr>
        <w:t>A</w:t>
      </w:r>
      <w:r>
        <w:rPr>
          <w:b/>
          <w:bCs/>
        </w:rPr>
        <w:t xml:space="preserve"> </w:t>
      </w:r>
      <w:r>
        <w:rPr>
          <w:bCs/>
        </w:rPr>
        <w:t xml:space="preserve">decisão ora proferida </w:t>
      </w:r>
      <w:r w:rsidR="006534CF">
        <w:rPr>
          <w:bCs/>
        </w:rPr>
        <w:t>deverá ser</w:t>
      </w:r>
      <w:r>
        <w:rPr>
          <w:bCs/>
        </w:rPr>
        <w:t xml:space="preserve"> publicada de forma reduzida, pela CONCEDENTE, </w:t>
      </w:r>
      <w:r w:rsidR="005E1AA5" w:rsidRPr="006542D4">
        <w:rPr>
          <w:bCs/>
        </w:rPr>
        <w:t>em jornal de ampla circulação local na área de abrangência</w:t>
      </w:r>
      <w:r>
        <w:rPr>
          <w:bCs/>
        </w:rPr>
        <w:t xml:space="preserve"> da concessão. </w:t>
      </w:r>
    </w:p>
    <w:p w:rsidR="00ED5FC4" w:rsidRDefault="00ED5FC4" w:rsidP="005E1AA5">
      <w:pPr>
        <w:spacing w:after="0" w:line="360" w:lineRule="auto"/>
        <w:ind w:firstLine="1276"/>
        <w:jc w:val="both"/>
        <w:rPr>
          <w:bCs/>
        </w:rPr>
      </w:pPr>
    </w:p>
    <w:p w:rsidR="005E1AA5" w:rsidRPr="006542D4" w:rsidRDefault="005E1AA5" w:rsidP="005E1AA5">
      <w:pPr>
        <w:spacing w:after="0" w:line="360" w:lineRule="auto"/>
        <w:ind w:firstLine="1276"/>
        <w:jc w:val="both"/>
        <w:rPr>
          <w:bCs/>
        </w:rPr>
      </w:pPr>
      <w:r w:rsidRPr="006542D4">
        <w:rPr>
          <w:bCs/>
        </w:rPr>
        <w:t>Extrai-se cópia</w:t>
      </w:r>
      <w:r w:rsidR="00ED5FC4">
        <w:rPr>
          <w:bCs/>
        </w:rPr>
        <w:t>s</w:t>
      </w:r>
      <w:r w:rsidRPr="006542D4">
        <w:rPr>
          <w:bCs/>
        </w:rPr>
        <w:t xml:space="preserve"> desta decisão, bem como dos demais documentos pertinentes e, </w:t>
      </w:r>
      <w:r w:rsidRPr="006542D4">
        <w:rPr>
          <w:b/>
          <w:bCs/>
        </w:rPr>
        <w:t>ENCAMINHA-SE ÀS PARTES</w:t>
      </w:r>
      <w:r w:rsidR="00ED5FC4">
        <w:rPr>
          <w:b/>
          <w:bCs/>
        </w:rPr>
        <w:t xml:space="preserve"> </w:t>
      </w:r>
      <w:r w:rsidR="00ED5FC4">
        <w:rPr>
          <w:bCs/>
        </w:rPr>
        <w:t>(SETERB, BLUMOB, PREFEITO MUNICIPAL DE BLUMENAU)</w:t>
      </w:r>
      <w:r w:rsidRPr="006542D4">
        <w:rPr>
          <w:bCs/>
        </w:rPr>
        <w:t xml:space="preserve"> para conhecimento</w:t>
      </w:r>
      <w:r w:rsidR="00ED5FC4">
        <w:rPr>
          <w:bCs/>
        </w:rPr>
        <w:t xml:space="preserve"> e apresentação de recurso, em havendo, no prazo de 15 (quinze) dias</w:t>
      </w:r>
      <w:r w:rsidRPr="006542D4">
        <w:rPr>
          <w:bCs/>
        </w:rPr>
        <w:t xml:space="preserve">. Não havendo manifestação, </w:t>
      </w:r>
      <w:r w:rsidRPr="006542D4">
        <w:rPr>
          <w:b/>
          <w:bCs/>
        </w:rPr>
        <w:t>DETERMINA-SE O ARQUIVAMENTO</w:t>
      </w:r>
      <w:r w:rsidRPr="006542D4">
        <w:rPr>
          <w:bCs/>
        </w:rPr>
        <w:t xml:space="preserve"> deste Procedimento Administrativo, juntando-se, inclusive, cópias das publicações.</w:t>
      </w:r>
    </w:p>
    <w:p w:rsidR="007338A3" w:rsidRDefault="005E1AA5" w:rsidP="00831A42">
      <w:pPr>
        <w:suppressAutoHyphens/>
        <w:spacing w:after="0" w:line="360" w:lineRule="auto"/>
        <w:ind w:firstLine="1276"/>
        <w:jc w:val="both"/>
      </w:pPr>
      <w:r w:rsidRPr="006542D4">
        <w:rPr>
          <w:bCs/>
        </w:rPr>
        <w:t>Essa a Decisão.</w:t>
      </w:r>
    </w:p>
    <w:p w:rsidR="007338A3" w:rsidRDefault="007338A3" w:rsidP="007338A3">
      <w:pPr>
        <w:spacing w:line="240" w:lineRule="auto"/>
      </w:pPr>
    </w:p>
    <w:p w:rsidR="0063226C" w:rsidRDefault="0063226C" w:rsidP="004F7AE3">
      <w:pPr>
        <w:spacing w:line="240" w:lineRule="auto"/>
      </w:pPr>
      <w:r>
        <w:t xml:space="preserve">Blumenau, </w:t>
      </w:r>
      <w:r w:rsidR="00831A42">
        <w:t>13 d</w:t>
      </w:r>
      <w:r>
        <w:t xml:space="preserve">e </w:t>
      </w:r>
      <w:r w:rsidR="006534CF">
        <w:t>novembro</w:t>
      </w:r>
      <w:r>
        <w:t xml:space="preserve"> de 2017.</w:t>
      </w:r>
    </w:p>
    <w:p w:rsidR="0063226C" w:rsidRPr="004F7AE3" w:rsidRDefault="0063226C" w:rsidP="00580D71">
      <w:pPr>
        <w:spacing w:line="240" w:lineRule="auto"/>
        <w:ind w:left="142"/>
        <w:jc w:val="center"/>
        <w:rPr>
          <w:b/>
        </w:rPr>
      </w:pPr>
      <w:r w:rsidRPr="004F7AE3">
        <w:rPr>
          <w:b/>
        </w:rPr>
        <w:lastRenderedPageBreak/>
        <w:t>Heinrich Luiz Pasold</w:t>
      </w:r>
    </w:p>
    <w:p w:rsidR="0063226C" w:rsidRDefault="0063226C" w:rsidP="00580D71">
      <w:pPr>
        <w:spacing w:line="240" w:lineRule="auto"/>
        <w:ind w:left="142"/>
        <w:jc w:val="center"/>
      </w:pPr>
      <w:r>
        <w:t>Diretor Geral.</w:t>
      </w:r>
    </w:p>
    <w:sectPr w:rsidR="0063226C" w:rsidSect="00831A42">
      <w:headerReference w:type="default" r:id="rId10"/>
      <w:footerReference w:type="default" r:id="rId11"/>
      <w:pgSz w:w="11906" w:h="16838" w:code="9"/>
      <w:pgMar w:top="720" w:right="849" w:bottom="720" w:left="1276" w:header="73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C88" w:rsidRDefault="00717C88" w:rsidP="00325C33">
      <w:pPr>
        <w:spacing w:after="0" w:line="240" w:lineRule="auto"/>
      </w:pPr>
      <w:r>
        <w:separator/>
      </w:r>
    </w:p>
  </w:endnote>
  <w:endnote w:type="continuationSeparator" w:id="0">
    <w:p w:rsidR="00717C88" w:rsidRDefault="00717C88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5748C8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leftMargin">
            <wp:posOffset>257175</wp:posOffset>
          </wp:positionH>
          <wp:positionV relativeFrom="paragraph">
            <wp:posOffset>-312420</wp:posOffset>
          </wp:positionV>
          <wp:extent cx="7048500" cy="485775"/>
          <wp:effectExtent l="19050" t="0" r="0" b="0"/>
          <wp:wrapNone/>
          <wp:docPr id="4" name="Imagem 4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25C33" w:rsidRDefault="00325C3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C88" w:rsidRDefault="00717C88" w:rsidP="00325C33">
      <w:pPr>
        <w:spacing w:after="0" w:line="240" w:lineRule="auto"/>
      </w:pPr>
      <w:r>
        <w:separator/>
      </w:r>
    </w:p>
  </w:footnote>
  <w:footnote w:type="continuationSeparator" w:id="0">
    <w:p w:rsidR="00717C88" w:rsidRDefault="00717C88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8F5F8D" w:rsidP="00831A42">
    <w:pPr>
      <w:pStyle w:val="Cabealho"/>
      <w:ind w:right="140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-58420</wp:posOffset>
          </wp:positionH>
          <wp:positionV relativeFrom="paragraph">
            <wp:posOffset>-311150</wp:posOffset>
          </wp:positionV>
          <wp:extent cx="6277610" cy="1438275"/>
          <wp:effectExtent l="0" t="0" r="8890" b="9525"/>
          <wp:wrapTopAndBottom/>
          <wp:docPr id="1" name="Imagem 0" descr="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77610" cy="143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114AF"/>
    <w:multiLevelType w:val="hybridMultilevel"/>
    <w:tmpl w:val="45BEEE04"/>
    <w:lvl w:ilvl="0" w:tplc="B402537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DF5B90"/>
    <w:multiLevelType w:val="hybridMultilevel"/>
    <w:tmpl w:val="36884636"/>
    <w:lvl w:ilvl="0" w:tplc="EC4EEC0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3091230"/>
    <w:multiLevelType w:val="hybridMultilevel"/>
    <w:tmpl w:val="D4D68E2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6C07B27"/>
    <w:multiLevelType w:val="hybridMultilevel"/>
    <w:tmpl w:val="1ADA99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F36D59"/>
    <w:multiLevelType w:val="hybridMultilevel"/>
    <w:tmpl w:val="53A080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26F5B"/>
    <w:multiLevelType w:val="hybridMultilevel"/>
    <w:tmpl w:val="757A6E22"/>
    <w:lvl w:ilvl="0" w:tplc="480205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75048"/>
    <w:multiLevelType w:val="hybridMultilevel"/>
    <w:tmpl w:val="F2D228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33"/>
    <w:rsid w:val="00001DFC"/>
    <w:rsid w:val="00006B0C"/>
    <w:rsid w:val="00017926"/>
    <w:rsid w:val="00020A61"/>
    <w:rsid w:val="00023C27"/>
    <w:rsid w:val="00030EB4"/>
    <w:rsid w:val="00034344"/>
    <w:rsid w:val="00044FFF"/>
    <w:rsid w:val="00046231"/>
    <w:rsid w:val="00064C07"/>
    <w:rsid w:val="00080806"/>
    <w:rsid w:val="0008533F"/>
    <w:rsid w:val="00094961"/>
    <w:rsid w:val="00096E97"/>
    <w:rsid w:val="000C3A53"/>
    <w:rsid w:val="000C497C"/>
    <w:rsid w:val="000D07D4"/>
    <w:rsid w:val="000D2A01"/>
    <w:rsid w:val="000D5003"/>
    <w:rsid w:val="000F0EAC"/>
    <w:rsid w:val="000F2AB2"/>
    <w:rsid w:val="001017EB"/>
    <w:rsid w:val="00112D87"/>
    <w:rsid w:val="001231BC"/>
    <w:rsid w:val="001241F9"/>
    <w:rsid w:val="00132C6B"/>
    <w:rsid w:val="00137CEE"/>
    <w:rsid w:val="00151F38"/>
    <w:rsid w:val="0016083C"/>
    <w:rsid w:val="00176E91"/>
    <w:rsid w:val="00177273"/>
    <w:rsid w:val="001803EB"/>
    <w:rsid w:val="00195495"/>
    <w:rsid w:val="001A5AE3"/>
    <w:rsid w:val="001B2F57"/>
    <w:rsid w:val="001B4BE9"/>
    <w:rsid w:val="001C2715"/>
    <w:rsid w:val="001C29FD"/>
    <w:rsid w:val="001F25D7"/>
    <w:rsid w:val="00222F99"/>
    <w:rsid w:val="00244D94"/>
    <w:rsid w:val="002471C9"/>
    <w:rsid w:val="0028214F"/>
    <w:rsid w:val="00286F1B"/>
    <w:rsid w:val="002A1C2B"/>
    <w:rsid w:val="002A2FDB"/>
    <w:rsid w:val="002A6B8C"/>
    <w:rsid w:val="002B09BD"/>
    <w:rsid w:val="002B5085"/>
    <w:rsid w:val="002B74A2"/>
    <w:rsid w:val="002C6A92"/>
    <w:rsid w:val="002D6C3F"/>
    <w:rsid w:val="002E0E1E"/>
    <w:rsid w:val="002E7FED"/>
    <w:rsid w:val="002F129E"/>
    <w:rsid w:val="00325C33"/>
    <w:rsid w:val="003435D6"/>
    <w:rsid w:val="0035183B"/>
    <w:rsid w:val="00351F93"/>
    <w:rsid w:val="003677AC"/>
    <w:rsid w:val="00377F00"/>
    <w:rsid w:val="00390B51"/>
    <w:rsid w:val="00392045"/>
    <w:rsid w:val="003948C3"/>
    <w:rsid w:val="003A4321"/>
    <w:rsid w:val="003C03F9"/>
    <w:rsid w:val="003C4709"/>
    <w:rsid w:val="003E3C68"/>
    <w:rsid w:val="003E76E3"/>
    <w:rsid w:val="003F6F25"/>
    <w:rsid w:val="00406418"/>
    <w:rsid w:val="00411E59"/>
    <w:rsid w:val="004428A9"/>
    <w:rsid w:val="004523D0"/>
    <w:rsid w:val="00455800"/>
    <w:rsid w:val="004565B3"/>
    <w:rsid w:val="004747C5"/>
    <w:rsid w:val="00476CC7"/>
    <w:rsid w:val="004839F8"/>
    <w:rsid w:val="00490F3C"/>
    <w:rsid w:val="004A3A8B"/>
    <w:rsid w:val="004B66D5"/>
    <w:rsid w:val="004D36B5"/>
    <w:rsid w:val="004E5327"/>
    <w:rsid w:val="004F7AE3"/>
    <w:rsid w:val="005072A3"/>
    <w:rsid w:val="00522BF5"/>
    <w:rsid w:val="00526B27"/>
    <w:rsid w:val="00527C43"/>
    <w:rsid w:val="00533EE3"/>
    <w:rsid w:val="005654C5"/>
    <w:rsid w:val="00567CC7"/>
    <w:rsid w:val="005748C8"/>
    <w:rsid w:val="005756E4"/>
    <w:rsid w:val="005774B1"/>
    <w:rsid w:val="00580D71"/>
    <w:rsid w:val="005B4489"/>
    <w:rsid w:val="005C2C9F"/>
    <w:rsid w:val="005D0BAF"/>
    <w:rsid w:val="005D1CF4"/>
    <w:rsid w:val="005D7F05"/>
    <w:rsid w:val="005E1AA5"/>
    <w:rsid w:val="005E3093"/>
    <w:rsid w:val="005F1E9E"/>
    <w:rsid w:val="005F7147"/>
    <w:rsid w:val="006001A2"/>
    <w:rsid w:val="00607B42"/>
    <w:rsid w:val="00626024"/>
    <w:rsid w:val="0063226C"/>
    <w:rsid w:val="00634C9E"/>
    <w:rsid w:val="00640280"/>
    <w:rsid w:val="006464F0"/>
    <w:rsid w:val="006534CF"/>
    <w:rsid w:val="00654FD1"/>
    <w:rsid w:val="0067059B"/>
    <w:rsid w:val="0067369B"/>
    <w:rsid w:val="00676526"/>
    <w:rsid w:val="00682FC1"/>
    <w:rsid w:val="006967BE"/>
    <w:rsid w:val="006B6CC7"/>
    <w:rsid w:val="006C1BFD"/>
    <w:rsid w:val="006E022B"/>
    <w:rsid w:val="006E5A47"/>
    <w:rsid w:val="00715FC7"/>
    <w:rsid w:val="00717C88"/>
    <w:rsid w:val="00727E48"/>
    <w:rsid w:val="007338A3"/>
    <w:rsid w:val="00737310"/>
    <w:rsid w:val="0075334F"/>
    <w:rsid w:val="00764011"/>
    <w:rsid w:val="00764BF5"/>
    <w:rsid w:val="00784801"/>
    <w:rsid w:val="007B1800"/>
    <w:rsid w:val="007C7A9C"/>
    <w:rsid w:val="007F32B0"/>
    <w:rsid w:val="007F6487"/>
    <w:rsid w:val="00801183"/>
    <w:rsid w:val="008056FE"/>
    <w:rsid w:val="00831A42"/>
    <w:rsid w:val="008360F7"/>
    <w:rsid w:val="00861B97"/>
    <w:rsid w:val="0088562B"/>
    <w:rsid w:val="008A1DE3"/>
    <w:rsid w:val="008A2FE5"/>
    <w:rsid w:val="008A60B4"/>
    <w:rsid w:val="008E0951"/>
    <w:rsid w:val="008F5F8D"/>
    <w:rsid w:val="008F7A46"/>
    <w:rsid w:val="009106E3"/>
    <w:rsid w:val="00920194"/>
    <w:rsid w:val="009225C7"/>
    <w:rsid w:val="00922FA6"/>
    <w:rsid w:val="00923978"/>
    <w:rsid w:val="00925313"/>
    <w:rsid w:val="0094247E"/>
    <w:rsid w:val="00944301"/>
    <w:rsid w:val="00956832"/>
    <w:rsid w:val="00991592"/>
    <w:rsid w:val="009A0DC4"/>
    <w:rsid w:val="009A7B75"/>
    <w:rsid w:val="009B6B24"/>
    <w:rsid w:val="009D1ACB"/>
    <w:rsid w:val="009D26E6"/>
    <w:rsid w:val="009E1A79"/>
    <w:rsid w:val="009F2AEF"/>
    <w:rsid w:val="009F6E62"/>
    <w:rsid w:val="00A04888"/>
    <w:rsid w:val="00A056CD"/>
    <w:rsid w:val="00A05D6D"/>
    <w:rsid w:val="00A06040"/>
    <w:rsid w:val="00A104D8"/>
    <w:rsid w:val="00A11C18"/>
    <w:rsid w:val="00A3738C"/>
    <w:rsid w:val="00A5265F"/>
    <w:rsid w:val="00A8177F"/>
    <w:rsid w:val="00A86FA3"/>
    <w:rsid w:val="00A9036C"/>
    <w:rsid w:val="00A96D35"/>
    <w:rsid w:val="00AA15B5"/>
    <w:rsid w:val="00AA18B7"/>
    <w:rsid w:val="00AA1A71"/>
    <w:rsid w:val="00AA3DD8"/>
    <w:rsid w:val="00AB2F17"/>
    <w:rsid w:val="00AB47EF"/>
    <w:rsid w:val="00AC47AA"/>
    <w:rsid w:val="00AF0020"/>
    <w:rsid w:val="00AF5D73"/>
    <w:rsid w:val="00AF5F56"/>
    <w:rsid w:val="00B01F5C"/>
    <w:rsid w:val="00B17C7D"/>
    <w:rsid w:val="00B3425B"/>
    <w:rsid w:val="00B35367"/>
    <w:rsid w:val="00B418FD"/>
    <w:rsid w:val="00B55C95"/>
    <w:rsid w:val="00B56425"/>
    <w:rsid w:val="00B5799B"/>
    <w:rsid w:val="00B74CA7"/>
    <w:rsid w:val="00B77E3B"/>
    <w:rsid w:val="00B87C6D"/>
    <w:rsid w:val="00BB1617"/>
    <w:rsid w:val="00BB30D0"/>
    <w:rsid w:val="00BB7464"/>
    <w:rsid w:val="00BC5FD7"/>
    <w:rsid w:val="00BF1321"/>
    <w:rsid w:val="00BF17DD"/>
    <w:rsid w:val="00BF5CC2"/>
    <w:rsid w:val="00BF6301"/>
    <w:rsid w:val="00C102FD"/>
    <w:rsid w:val="00C55275"/>
    <w:rsid w:val="00C5574F"/>
    <w:rsid w:val="00C77D23"/>
    <w:rsid w:val="00C77F82"/>
    <w:rsid w:val="00C87CBA"/>
    <w:rsid w:val="00C97010"/>
    <w:rsid w:val="00CA4A8B"/>
    <w:rsid w:val="00CB4E48"/>
    <w:rsid w:val="00CB751D"/>
    <w:rsid w:val="00CD607B"/>
    <w:rsid w:val="00CD7E5C"/>
    <w:rsid w:val="00CE69F6"/>
    <w:rsid w:val="00CF1252"/>
    <w:rsid w:val="00CF7020"/>
    <w:rsid w:val="00D122C7"/>
    <w:rsid w:val="00D370F7"/>
    <w:rsid w:val="00D501CB"/>
    <w:rsid w:val="00D57E7E"/>
    <w:rsid w:val="00D60BAE"/>
    <w:rsid w:val="00D647E2"/>
    <w:rsid w:val="00D6786A"/>
    <w:rsid w:val="00D71C3C"/>
    <w:rsid w:val="00D73EB3"/>
    <w:rsid w:val="00D813EA"/>
    <w:rsid w:val="00D94BA9"/>
    <w:rsid w:val="00D96E02"/>
    <w:rsid w:val="00DB0937"/>
    <w:rsid w:val="00DB3C76"/>
    <w:rsid w:val="00DB3D95"/>
    <w:rsid w:val="00DD5B5E"/>
    <w:rsid w:val="00DE66D7"/>
    <w:rsid w:val="00DF0345"/>
    <w:rsid w:val="00DF0DE9"/>
    <w:rsid w:val="00E12BF6"/>
    <w:rsid w:val="00E15B6B"/>
    <w:rsid w:val="00E20845"/>
    <w:rsid w:val="00E2790D"/>
    <w:rsid w:val="00E30249"/>
    <w:rsid w:val="00E46B6D"/>
    <w:rsid w:val="00E51860"/>
    <w:rsid w:val="00E52058"/>
    <w:rsid w:val="00E63869"/>
    <w:rsid w:val="00E76229"/>
    <w:rsid w:val="00EC21B8"/>
    <w:rsid w:val="00ED5FC4"/>
    <w:rsid w:val="00EE57B6"/>
    <w:rsid w:val="00EE75C7"/>
    <w:rsid w:val="00F32DC3"/>
    <w:rsid w:val="00F40999"/>
    <w:rsid w:val="00F453C8"/>
    <w:rsid w:val="00F55264"/>
    <w:rsid w:val="00F579EE"/>
    <w:rsid w:val="00F66C4F"/>
    <w:rsid w:val="00F673DD"/>
    <w:rsid w:val="00F76202"/>
    <w:rsid w:val="00F80531"/>
    <w:rsid w:val="00F8226E"/>
    <w:rsid w:val="00FA2FFB"/>
    <w:rsid w:val="00FA62BE"/>
    <w:rsid w:val="00FA7838"/>
    <w:rsid w:val="00FC7A20"/>
    <w:rsid w:val="00FC7F73"/>
    <w:rsid w:val="00FD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81F9F2"/>
  <w15:docId w15:val="{C8F11A7A-3504-41B7-9044-010E44A1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B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A2FFB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Recuodecorpodetexto">
    <w:name w:val="Body Text Indent"/>
    <w:basedOn w:val="Normal"/>
    <w:link w:val="RecuodecorpodetextoChar"/>
    <w:semiHidden/>
    <w:unhideWhenUsed/>
    <w:rsid w:val="00FA2FFB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A2FFB"/>
    <w:rPr>
      <w:rFonts w:ascii="Times New Roman" w:eastAsia="Times New Roman" w:hAnsi="Times New Roman"/>
    </w:rPr>
  </w:style>
  <w:style w:type="character" w:customStyle="1" w:styleId="textexposedshow">
    <w:name w:val="text_exposed_show"/>
    <w:basedOn w:val="Fontepargpadro"/>
    <w:rsid w:val="00715FC7"/>
  </w:style>
  <w:style w:type="character" w:customStyle="1" w:styleId="apple-converted-space">
    <w:name w:val="apple-converted-space"/>
    <w:basedOn w:val="Fontepargpadro"/>
    <w:rsid w:val="00715FC7"/>
  </w:style>
  <w:style w:type="character" w:styleId="Hyperlink">
    <w:name w:val="Hyperlink"/>
    <w:basedOn w:val="Fontepargpadro"/>
    <w:uiPriority w:val="99"/>
    <w:unhideWhenUsed/>
    <w:rsid w:val="00715FC7"/>
    <w:rPr>
      <w:color w:val="0000FF"/>
      <w:u w:val="single"/>
    </w:rPr>
  </w:style>
  <w:style w:type="paragraph" w:customStyle="1" w:styleId="texto1">
    <w:name w:val="texto1"/>
    <w:basedOn w:val="Normal"/>
    <w:rsid w:val="00B56425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3A432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3A432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A4321"/>
    <w:rPr>
      <w:vertAlign w:val="superscript"/>
    </w:rPr>
  </w:style>
  <w:style w:type="table" w:styleId="Tabelacomgrade">
    <w:name w:val="Table Grid"/>
    <w:basedOn w:val="Tabelanormal"/>
    <w:uiPriority w:val="59"/>
    <w:rsid w:val="00123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gir.sc.gov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0BA71-607A-4E7D-9760-210A821D9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10</Pages>
  <Words>2752</Words>
  <Characters>14866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Heinrich Luiz Pasold</cp:lastModifiedBy>
  <cp:revision>6</cp:revision>
  <cp:lastPrinted>2017-11-13T15:27:00Z</cp:lastPrinted>
  <dcterms:created xsi:type="dcterms:W3CDTF">2017-11-13T15:25:00Z</dcterms:created>
  <dcterms:modified xsi:type="dcterms:W3CDTF">2018-11-19T18:01:00Z</dcterms:modified>
</cp:coreProperties>
</file>