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EF1" w:rsidRPr="00E34F19" w:rsidRDefault="00830EF1" w:rsidP="005D4233">
      <w:pPr>
        <w:spacing w:before="0" w:after="0"/>
        <w:jc w:val="center"/>
        <w:rPr>
          <w:b/>
          <w:sz w:val="40"/>
          <w:szCs w:val="40"/>
        </w:rPr>
      </w:pPr>
      <w:r w:rsidRPr="00E34F19">
        <w:rPr>
          <w:b/>
          <w:sz w:val="40"/>
          <w:szCs w:val="40"/>
          <w:u w:val="single"/>
        </w:rPr>
        <w:t xml:space="preserve">Parecer Administrativo nº </w:t>
      </w:r>
      <w:r w:rsidR="0032289D">
        <w:rPr>
          <w:b/>
          <w:sz w:val="40"/>
          <w:szCs w:val="40"/>
          <w:u w:val="single"/>
        </w:rPr>
        <w:t>040</w:t>
      </w:r>
      <w:r w:rsidRPr="00E34F19">
        <w:rPr>
          <w:b/>
          <w:sz w:val="40"/>
          <w:szCs w:val="40"/>
          <w:u w:val="single"/>
        </w:rPr>
        <w:t>/201</w:t>
      </w:r>
      <w:r>
        <w:rPr>
          <w:b/>
          <w:sz w:val="40"/>
          <w:szCs w:val="40"/>
          <w:u w:val="single"/>
        </w:rPr>
        <w:t>7</w:t>
      </w:r>
    </w:p>
    <w:p w:rsidR="00830EF1" w:rsidRDefault="00830EF1" w:rsidP="00D479FF">
      <w:pPr>
        <w:spacing w:before="0" w:after="0"/>
        <w:rPr>
          <w:b/>
        </w:rPr>
      </w:pPr>
    </w:p>
    <w:p w:rsidR="00830EF1" w:rsidRDefault="00830EF1" w:rsidP="00686219">
      <w:pPr>
        <w:spacing w:before="0" w:after="0"/>
        <w:ind w:firstLine="0"/>
        <w:rPr>
          <w:b/>
        </w:rPr>
      </w:pPr>
      <w:r>
        <w:rPr>
          <w:b/>
        </w:rPr>
        <w:t>Procedimento Administrativo nº 0</w:t>
      </w:r>
      <w:r w:rsidR="00A24C51">
        <w:rPr>
          <w:b/>
        </w:rPr>
        <w:t>43</w:t>
      </w:r>
      <w:r>
        <w:rPr>
          <w:b/>
        </w:rPr>
        <w:t>/2017.</w:t>
      </w:r>
    </w:p>
    <w:p w:rsidR="00830EF1" w:rsidRDefault="00830EF1" w:rsidP="00153DBA">
      <w:pPr>
        <w:spacing w:before="0" w:after="0"/>
        <w:rPr>
          <w:b/>
          <w:u w:val="single"/>
        </w:rPr>
      </w:pPr>
    </w:p>
    <w:p w:rsidR="00E0698F" w:rsidRDefault="00830EF1" w:rsidP="000359FE">
      <w:pPr>
        <w:pStyle w:val="NormalWeb"/>
        <w:spacing w:before="0" w:beforeAutospacing="0" w:after="0" w:afterAutospacing="0"/>
        <w:ind w:firstLine="0"/>
      </w:pPr>
      <w:r>
        <w:rPr>
          <w:b/>
          <w:u w:val="single"/>
        </w:rPr>
        <w:t>OBJETO</w:t>
      </w:r>
      <w:r>
        <w:rPr>
          <w:b/>
        </w:rPr>
        <w:t xml:space="preserve">: </w:t>
      </w:r>
      <w:r w:rsidR="00E0698F">
        <w:t xml:space="preserve">Análise do pleito de reajuste tarifária do </w:t>
      </w:r>
      <w:r w:rsidR="00E24F94">
        <w:t>C</w:t>
      </w:r>
      <w:r w:rsidR="00E0698F">
        <w:t xml:space="preserve">ontrato de </w:t>
      </w:r>
      <w:r w:rsidR="00E24F94">
        <w:t>C</w:t>
      </w:r>
      <w:r w:rsidR="00E0698F">
        <w:t xml:space="preserve">oncessão nº 042/2017, firmado em 18 de abril de 2017, cujo objeto é a </w:t>
      </w:r>
      <w:r w:rsidR="00E24F94">
        <w:t>p</w:t>
      </w:r>
      <w:r w:rsidR="00E0698F">
        <w:t xml:space="preserve">restação e </w:t>
      </w:r>
      <w:r w:rsidR="00E24F94">
        <w:t>e</w:t>
      </w:r>
      <w:r w:rsidR="00E0698F">
        <w:t>xploração do serviço de transporte coletivo urbano de passageiros no município de Blumenau, exclusivamente na modalidade convencional.</w:t>
      </w:r>
    </w:p>
    <w:p w:rsidR="00E0698F" w:rsidRDefault="00E0698F" w:rsidP="000359FE">
      <w:pPr>
        <w:pStyle w:val="NormalWeb"/>
        <w:spacing w:before="0" w:beforeAutospacing="0" w:after="0" w:afterAutospacing="0"/>
        <w:ind w:firstLine="0"/>
      </w:pPr>
      <w:r>
        <w:rPr>
          <w:b/>
          <w:u w:val="single"/>
        </w:rPr>
        <w:t>SOLICITANTE</w:t>
      </w:r>
      <w:r>
        <w:rPr>
          <w:b/>
        </w:rPr>
        <w:t xml:space="preserve">: BluMob. </w:t>
      </w:r>
    </w:p>
    <w:p w:rsidR="00E0698F" w:rsidRDefault="00E0698F" w:rsidP="00D479FF">
      <w:pPr>
        <w:spacing w:before="0" w:after="0"/>
        <w:ind w:firstLine="0"/>
      </w:pPr>
      <w:r>
        <w:rPr>
          <w:b/>
          <w:u w:val="single"/>
        </w:rPr>
        <w:t>INTERESSADOS</w:t>
      </w:r>
      <w:r>
        <w:rPr>
          <w:b/>
        </w:rPr>
        <w:t xml:space="preserve">: BluMob, Seterb e o </w:t>
      </w:r>
      <w:r w:rsidR="00E24F94">
        <w:rPr>
          <w:b/>
        </w:rPr>
        <w:t>m</w:t>
      </w:r>
      <w:r>
        <w:rPr>
          <w:b/>
        </w:rPr>
        <w:t>unicípio de Blumenau</w:t>
      </w:r>
      <w:r w:rsidRPr="00FA1389">
        <w:t>.</w:t>
      </w:r>
    </w:p>
    <w:p w:rsidR="00830EF1" w:rsidRDefault="00830EF1" w:rsidP="00E63455">
      <w:pPr>
        <w:spacing w:before="0" w:after="0"/>
        <w:rPr>
          <w:b/>
        </w:rPr>
      </w:pPr>
    </w:p>
    <w:p w:rsidR="00830EF1" w:rsidRPr="00826F85" w:rsidRDefault="00830EF1" w:rsidP="000359FE">
      <w:pPr>
        <w:pStyle w:val="PargrafodaLista"/>
        <w:numPr>
          <w:ilvl w:val="0"/>
          <w:numId w:val="11"/>
        </w:numPr>
        <w:spacing w:before="0" w:after="0"/>
        <w:ind w:left="567" w:hanging="567"/>
        <w:rPr>
          <w:b/>
        </w:rPr>
      </w:pPr>
      <w:r w:rsidRPr="00826F85">
        <w:rPr>
          <w:b/>
        </w:rPr>
        <w:t>DA IDENTIFIÇÃO DA AGÊNCIA REGULADORA</w:t>
      </w:r>
    </w:p>
    <w:p w:rsidR="00067822" w:rsidRDefault="00067822" w:rsidP="00E63455">
      <w:pPr>
        <w:spacing w:before="0" w:after="0"/>
        <w:rPr>
          <w:b/>
        </w:rPr>
      </w:pPr>
    </w:p>
    <w:p w:rsidR="00067822" w:rsidRPr="00746836" w:rsidRDefault="00067822" w:rsidP="00D479FF">
      <w:pPr>
        <w:spacing w:before="0" w:after="0"/>
        <w:ind w:firstLine="708"/>
      </w:pPr>
      <w:r w:rsidRPr="00746836">
        <w:t xml:space="preserve">A </w:t>
      </w:r>
      <w:r>
        <w:t>Agência Intermunicipal d</w:t>
      </w:r>
      <w:r w:rsidRPr="00746836">
        <w:t xml:space="preserve">e Regulação, Controle </w:t>
      </w:r>
      <w:r>
        <w:t>e</w:t>
      </w:r>
      <w:r w:rsidRPr="00746836">
        <w:t xml:space="preserve"> Fiscalização </w:t>
      </w:r>
      <w:r>
        <w:t>d</w:t>
      </w:r>
      <w:r w:rsidRPr="00746836">
        <w:t xml:space="preserve">e Serviços Públicos Municipais </w:t>
      </w:r>
      <w:r>
        <w:t>d</w:t>
      </w:r>
      <w:r w:rsidRPr="00746836">
        <w:t xml:space="preserve">o Médio Vale </w:t>
      </w:r>
      <w:r w:rsidR="008D7E67">
        <w:t>d</w:t>
      </w:r>
      <w:r w:rsidRPr="00746836">
        <w:t xml:space="preserve">o Itajaí </w:t>
      </w:r>
      <w:r>
        <w:t>–</w:t>
      </w:r>
      <w:r w:rsidRPr="00746836">
        <w:t xml:space="preserve"> AGIR é pessoa jurídica de direito público, sem fins econômicos sob a forma de associação pública, dotada de independência decisória e autonomia administrativa, orçamentária e financeira, rege</w:t>
      </w:r>
      <w:r>
        <w:t>ndo</w:t>
      </w:r>
      <w:r w:rsidRPr="00746836">
        <w:t>-se pelas normas da Constituição da República Federativa do Brasil, da Lei Federal nº 11.107, de 06 de ab</w:t>
      </w:r>
      <w:r>
        <w:t>ril de 2005 e Decreto</w:t>
      </w:r>
      <w:r w:rsidR="008D7E67">
        <w:t xml:space="preserve"> nº </w:t>
      </w:r>
      <w:r>
        <w:t>6.017/2007</w:t>
      </w:r>
      <w:r w:rsidR="008D7E67">
        <w:t>, de 17 de janeiro de 2007</w:t>
      </w:r>
      <w:r w:rsidRPr="00746836">
        <w:t>.</w:t>
      </w:r>
    </w:p>
    <w:p w:rsidR="00160BE9" w:rsidRDefault="00067822" w:rsidP="005D4233">
      <w:pPr>
        <w:spacing w:before="0" w:after="0"/>
      </w:pPr>
      <w:r>
        <w:t>Cabe informar que, a AGIR, localizada em Blumenau, Estado de Santa Catarina, na região do Médio Vale do Itajaí, é constituída atualmente pelos 14 (quatorze) municípios desta região, sendo estes: Apiúna, Ascurra, Benedito Novo, Blumenau, Botuverá, Brusque, Doutor Pedrinho, Gaspar, Guabiruba, Indaial, Pomerode, Rio dos Cedros, Rodeio e Timbó, conforme demonstra-</w:t>
      </w:r>
      <w:r w:rsidRPr="00E63455">
        <w:t xml:space="preserve">se na </w:t>
      </w:r>
      <w:r w:rsidR="0010754D">
        <w:fldChar w:fldCharType="begin"/>
      </w:r>
      <w:r w:rsidR="0010754D">
        <w:instrText xml:space="preserve"> REF _Ref499907183 \h  \* MERGEFORM</w:instrText>
      </w:r>
      <w:r w:rsidR="0010754D">
        <w:instrText xml:space="preserve">AT </w:instrText>
      </w:r>
      <w:r w:rsidR="0010754D">
        <w:fldChar w:fldCharType="separate"/>
      </w:r>
      <w:r w:rsidR="00E02CAD" w:rsidRPr="00E02CAD">
        <w:t>Figura 1</w:t>
      </w:r>
      <w:r w:rsidR="0010754D">
        <w:fldChar w:fldCharType="end"/>
      </w:r>
      <w:r w:rsidRPr="00E63455">
        <w:t>:</w:t>
      </w:r>
      <w:r w:rsidRPr="00746836">
        <w:t xml:space="preserve"> </w:t>
      </w:r>
    </w:p>
    <w:p w:rsidR="00517C9F" w:rsidRDefault="00517C9F" w:rsidP="005D4233">
      <w:pPr>
        <w:spacing w:before="0" w:after="0"/>
      </w:pPr>
    </w:p>
    <w:p w:rsidR="00517C9F" w:rsidRDefault="00517C9F" w:rsidP="005D4233">
      <w:pPr>
        <w:spacing w:before="0" w:after="0"/>
      </w:pPr>
    </w:p>
    <w:p w:rsidR="00517C9F" w:rsidRDefault="00517C9F" w:rsidP="005D4233">
      <w:pPr>
        <w:spacing w:before="0" w:after="0"/>
      </w:pPr>
    </w:p>
    <w:p w:rsidR="00517C9F" w:rsidRDefault="00517C9F" w:rsidP="00E63455">
      <w:pPr>
        <w:spacing w:before="0" w:after="0"/>
      </w:pPr>
    </w:p>
    <w:p w:rsidR="00067822" w:rsidRPr="00693F33" w:rsidRDefault="00E63455" w:rsidP="00740FB1">
      <w:pPr>
        <w:spacing w:before="0" w:after="0" w:line="240" w:lineRule="auto"/>
        <w:ind w:firstLine="0"/>
        <w:jc w:val="left"/>
      </w:pPr>
      <w:bookmarkStart w:id="0" w:name="_Ref499907183"/>
      <w:bookmarkStart w:id="1" w:name="_Ref499907180"/>
      <w:r w:rsidRPr="00740FB1">
        <w:rPr>
          <w:b/>
        </w:rPr>
        <w:lastRenderedPageBreak/>
        <w:t xml:space="preserve">Figura </w:t>
      </w:r>
      <w:r w:rsidR="0014079C" w:rsidRPr="00740FB1">
        <w:rPr>
          <w:b/>
        </w:rPr>
        <w:fldChar w:fldCharType="begin"/>
      </w:r>
      <w:r w:rsidRPr="00740FB1">
        <w:rPr>
          <w:b/>
        </w:rPr>
        <w:instrText xml:space="preserve"> SEQ Figura \* ARABIC </w:instrText>
      </w:r>
      <w:r w:rsidR="0014079C" w:rsidRPr="00740FB1">
        <w:rPr>
          <w:b/>
        </w:rPr>
        <w:fldChar w:fldCharType="separate"/>
      </w:r>
      <w:r w:rsidR="00E02CAD">
        <w:rPr>
          <w:b/>
          <w:noProof/>
        </w:rPr>
        <w:t>1</w:t>
      </w:r>
      <w:r w:rsidR="0014079C" w:rsidRPr="00740FB1">
        <w:rPr>
          <w:b/>
        </w:rPr>
        <w:fldChar w:fldCharType="end"/>
      </w:r>
      <w:bookmarkEnd w:id="0"/>
      <w:r w:rsidR="00067822" w:rsidRPr="00740FB1">
        <w:rPr>
          <w:b/>
        </w:rPr>
        <w:t>- Área de Abrangência da AGIR</w:t>
      </w:r>
      <w:r w:rsidR="00C70530" w:rsidRPr="00740FB1">
        <w:rPr>
          <w:b/>
        </w:rPr>
        <w:t xml:space="preserve"> (saneamento básico).</w:t>
      </w:r>
      <w:bookmarkEnd w:id="1"/>
      <w:r w:rsidR="00F75AB4" w:rsidRPr="00067822">
        <w:rPr>
          <w:noProof/>
        </w:rPr>
        <w:drawing>
          <wp:inline distT="0" distB="0" distL="0" distR="0">
            <wp:extent cx="5561203" cy="3019749"/>
            <wp:effectExtent l="171450" t="171450" r="154305" b="161925"/>
            <wp:docPr id="2" name="Imagem 1" descr="C:\Users\andre.AMMVI\Documents\Downloads\image_W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Users\andre.AMMVI\Documents\Downloads\image_W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60695" cy="301942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067822" w:rsidRPr="00AF6154" w:rsidRDefault="00067822" w:rsidP="00686219">
      <w:pPr>
        <w:spacing w:before="0" w:after="0" w:line="240" w:lineRule="auto"/>
        <w:ind w:firstLine="0"/>
        <w:rPr>
          <w:sz w:val="20"/>
          <w:szCs w:val="20"/>
        </w:rPr>
      </w:pPr>
      <w:r w:rsidRPr="00AF6154">
        <w:rPr>
          <w:sz w:val="20"/>
          <w:szCs w:val="20"/>
        </w:rPr>
        <w:t xml:space="preserve">Fonte: Relatório de Atividade da Associação dos </w:t>
      </w:r>
      <w:r>
        <w:rPr>
          <w:sz w:val="20"/>
          <w:szCs w:val="20"/>
        </w:rPr>
        <w:t>m</w:t>
      </w:r>
      <w:r w:rsidRPr="00AF6154">
        <w:rPr>
          <w:sz w:val="20"/>
          <w:szCs w:val="20"/>
        </w:rPr>
        <w:t xml:space="preserve">unicípios do </w:t>
      </w:r>
      <w:r>
        <w:rPr>
          <w:sz w:val="20"/>
          <w:szCs w:val="20"/>
        </w:rPr>
        <w:t>M</w:t>
      </w:r>
      <w:r w:rsidRPr="00AF6154">
        <w:rPr>
          <w:sz w:val="20"/>
          <w:szCs w:val="20"/>
        </w:rPr>
        <w:t xml:space="preserve">édio </w:t>
      </w:r>
      <w:r>
        <w:rPr>
          <w:sz w:val="20"/>
          <w:szCs w:val="20"/>
        </w:rPr>
        <w:t>V</w:t>
      </w:r>
      <w:r w:rsidRPr="00AF6154">
        <w:rPr>
          <w:sz w:val="20"/>
          <w:szCs w:val="20"/>
        </w:rPr>
        <w:t>ale do Itajaí -</w:t>
      </w:r>
      <w:r>
        <w:rPr>
          <w:sz w:val="20"/>
          <w:szCs w:val="20"/>
        </w:rPr>
        <w:t xml:space="preserve"> </w:t>
      </w:r>
      <w:r w:rsidRPr="00AF6154">
        <w:rPr>
          <w:sz w:val="20"/>
          <w:szCs w:val="20"/>
        </w:rPr>
        <w:t>AMMVI (2016)</w:t>
      </w:r>
      <w:r>
        <w:rPr>
          <w:sz w:val="20"/>
          <w:szCs w:val="20"/>
        </w:rPr>
        <w:t>.</w:t>
      </w:r>
    </w:p>
    <w:p w:rsidR="00160BE9" w:rsidRDefault="00160BE9" w:rsidP="000359FE">
      <w:pPr>
        <w:spacing w:before="0" w:after="0"/>
      </w:pPr>
    </w:p>
    <w:p w:rsidR="00067822" w:rsidRPr="00BA755F" w:rsidRDefault="00067822" w:rsidP="000359FE">
      <w:pPr>
        <w:spacing w:before="0" w:after="0"/>
        <w:rPr>
          <w:color w:val="333333"/>
        </w:rPr>
      </w:pPr>
      <w:r>
        <w:t xml:space="preserve">O </w:t>
      </w:r>
      <w:r w:rsidRPr="00BA755F">
        <w:t xml:space="preserve">município de Blumenau, </w:t>
      </w:r>
      <w:r>
        <w:t xml:space="preserve">parte </w:t>
      </w:r>
      <w:r w:rsidRPr="00BA755F">
        <w:t>interessad</w:t>
      </w:r>
      <w:r>
        <w:t>a</w:t>
      </w:r>
      <w:r w:rsidRPr="00BA755F">
        <w:t xml:space="preserve"> no presente Procedimento Administrativo, aderiu ao Protocolo de Intenções da AGIR por meio da</w:t>
      </w:r>
      <w:r w:rsidR="007E362A">
        <w:t xml:space="preserve"> </w:t>
      </w:r>
      <w:r w:rsidRPr="00BA755F">
        <w:rPr>
          <w:color w:val="333333"/>
        </w:rPr>
        <w:t>Lei Complementar nº 7.502, de 10 de março de 2010</w:t>
      </w:r>
      <w:r>
        <w:rPr>
          <w:color w:val="333333"/>
        </w:rPr>
        <w:t xml:space="preserve"> </w:t>
      </w:r>
      <w:r w:rsidRPr="000359FE">
        <w:t xml:space="preserve">e </w:t>
      </w:r>
      <w:r w:rsidR="00A37CF0">
        <w:t>também sua alteração</w:t>
      </w:r>
      <w:r w:rsidRPr="000359FE">
        <w:t xml:space="preserve"> pela Lei Complementar </w:t>
      </w:r>
      <w:r w:rsidR="00485DCD">
        <w:t xml:space="preserve">nº </w:t>
      </w:r>
      <w:r w:rsidRPr="000359FE">
        <w:t>8.363 de 15 de dezembro de 2016.</w:t>
      </w:r>
    </w:p>
    <w:p w:rsidR="00067822" w:rsidRPr="003C65F6" w:rsidRDefault="00067822" w:rsidP="000359FE">
      <w:pPr>
        <w:spacing w:before="0" w:after="0"/>
      </w:pPr>
      <w:r w:rsidRPr="003C65F6">
        <w:t>São objetos de regulação por parte da AGIR os serviços assim compreendidos pela Lei Federal nº 11.445/2007:</w:t>
      </w:r>
    </w:p>
    <w:p w:rsidR="00067822" w:rsidRPr="003B4BD4" w:rsidRDefault="00067822" w:rsidP="000359FE">
      <w:pPr>
        <w:pStyle w:val="texto1"/>
        <w:numPr>
          <w:ilvl w:val="0"/>
          <w:numId w:val="10"/>
        </w:numPr>
        <w:spacing w:before="0" w:beforeAutospacing="0" w:after="0" w:afterAutospacing="0" w:line="360" w:lineRule="auto"/>
        <w:rPr>
          <w:rFonts w:ascii="Times New Roman" w:hAnsi="Times New Roman"/>
          <w:color w:val="000000"/>
          <w:sz w:val="24"/>
          <w:szCs w:val="24"/>
        </w:rPr>
      </w:pPr>
      <w:r w:rsidRPr="003B4BD4">
        <w:rPr>
          <w:rFonts w:ascii="Times New Roman" w:hAnsi="Times New Roman"/>
          <w:color w:val="000000"/>
          <w:sz w:val="24"/>
          <w:szCs w:val="24"/>
        </w:rPr>
        <w:t>Abastecimento de água potável;</w:t>
      </w:r>
    </w:p>
    <w:p w:rsidR="00067822" w:rsidRPr="003B4BD4" w:rsidRDefault="00067822" w:rsidP="000359FE">
      <w:pPr>
        <w:pStyle w:val="texto1"/>
        <w:numPr>
          <w:ilvl w:val="0"/>
          <w:numId w:val="10"/>
        </w:numPr>
        <w:spacing w:before="0" w:beforeAutospacing="0" w:after="0" w:afterAutospacing="0" w:line="360" w:lineRule="auto"/>
        <w:rPr>
          <w:rFonts w:ascii="Times New Roman" w:hAnsi="Times New Roman"/>
          <w:color w:val="000000"/>
          <w:sz w:val="24"/>
          <w:szCs w:val="24"/>
        </w:rPr>
      </w:pPr>
      <w:r w:rsidRPr="003B4BD4">
        <w:rPr>
          <w:rFonts w:ascii="Times New Roman" w:hAnsi="Times New Roman"/>
          <w:color w:val="000000"/>
          <w:sz w:val="24"/>
          <w:szCs w:val="24"/>
        </w:rPr>
        <w:t>Esgotamento sanitário;</w:t>
      </w:r>
    </w:p>
    <w:p w:rsidR="00067822" w:rsidRPr="003B4BD4" w:rsidRDefault="00067822" w:rsidP="000359FE">
      <w:pPr>
        <w:pStyle w:val="texto1"/>
        <w:numPr>
          <w:ilvl w:val="0"/>
          <w:numId w:val="10"/>
        </w:numPr>
        <w:spacing w:before="0" w:beforeAutospacing="0" w:after="0" w:afterAutospacing="0" w:line="360" w:lineRule="auto"/>
        <w:rPr>
          <w:rFonts w:ascii="Times New Roman" w:hAnsi="Times New Roman"/>
          <w:color w:val="000000"/>
          <w:sz w:val="24"/>
          <w:szCs w:val="24"/>
        </w:rPr>
      </w:pPr>
      <w:r w:rsidRPr="003B4BD4">
        <w:rPr>
          <w:rFonts w:ascii="Times New Roman" w:hAnsi="Times New Roman"/>
          <w:color w:val="000000"/>
          <w:sz w:val="24"/>
          <w:szCs w:val="24"/>
        </w:rPr>
        <w:t>Limpeza urbana e manejo de resíduos sólidos;</w:t>
      </w:r>
    </w:p>
    <w:p w:rsidR="00067822" w:rsidRPr="003B4BD4" w:rsidRDefault="00067822" w:rsidP="000359FE">
      <w:pPr>
        <w:pStyle w:val="texto1"/>
        <w:numPr>
          <w:ilvl w:val="0"/>
          <w:numId w:val="10"/>
        </w:numPr>
        <w:spacing w:before="0" w:beforeAutospacing="0" w:after="0" w:afterAutospacing="0" w:line="360" w:lineRule="auto"/>
        <w:rPr>
          <w:rFonts w:ascii="Times New Roman" w:hAnsi="Times New Roman"/>
          <w:sz w:val="24"/>
          <w:szCs w:val="24"/>
        </w:rPr>
      </w:pPr>
      <w:r w:rsidRPr="003B4BD4">
        <w:rPr>
          <w:rFonts w:ascii="Times New Roman" w:hAnsi="Times New Roman"/>
          <w:color w:val="000000"/>
          <w:sz w:val="24"/>
          <w:szCs w:val="24"/>
        </w:rPr>
        <w:t>Drenagem e manejo das águas pluviais.</w:t>
      </w:r>
    </w:p>
    <w:p w:rsidR="00067822" w:rsidRPr="002C6D6E" w:rsidRDefault="00067822" w:rsidP="000359FE">
      <w:pPr>
        <w:spacing w:before="0" w:after="0"/>
      </w:pPr>
      <w:r>
        <w:t xml:space="preserve">Também é objeto de regulação por parte da AGIR, os serviços de transporte coletivo, cujas atribuições foram </w:t>
      </w:r>
      <w:r w:rsidRPr="002C6D6E">
        <w:t>delegadas a esta Agência através da Lei n° 8.363, de 15/12/16, deste município, e considerando a ratificação destas atribuições pelo número legal dos entes consorciados, ou seja, pelo</w:t>
      </w:r>
      <w:r w:rsidRPr="002C6D6E">
        <w:rPr>
          <w:color w:val="000000"/>
        </w:rPr>
        <w:t xml:space="preserve"> 8º (oitavo) ente consorciado que ratificou o Novo Protocolo de </w:t>
      </w:r>
      <w:r w:rsidRPr="002C6D6E">
        <w:rPr>
          <w:color w:val="000000"/>
        </w:rPr>
        <w:lastRenderedPageBreak/>
        <w:t xml:space="preserve">Intenções, com a promulgação da Lei Complementar n° 136, em 13/04/2017, pelo </w:t>
      </w:r>
      <w:r>
        <w:rPr>
          <w:color w:val="000000"/>
        </w:rPr>
        <w:t>m</w:t>
      </w:r>
      <w:r w:rsidRPr="002C6D6E">
        <w:rPr>
          <w:color w:val="000000"/>
        </w:rPr>
        <w:t>unicípio de Doutor Pedrinho</w:t>
      </w:r>
      <w:r>
        <w:t>.</w:t>
      </w:r>
    </w:p>
    <w:p w:rsidR="002C1029" w:rsidRDefault="00A37CF0" w:rsidP="002C1029">
      <w:pPr>
        <w:spacing w:before="0" w:after="0"/>
      </w:pPr>
      <w:r>
        <w:t>Registra-se que e</w:t>
      </w:r>
      <w:r w:rsidR="00067822">
        <w:t xml:space="preserve">m </w:t>
      </w:r>
      <w:r w:rsidR="00067822" w:rsidRPr="002C6D6E">
        <w:t xml:space="preserve">18 de abril de 2017, </w:t>
      </w:r>
      <w:r w:rsidR="00067822">
        <w:t>foi assinado o</w:t>
      </w:r>
      <w:r w:rsidR="00067822" w:rsidRPr="002C6D6E">
        <w:t xml:space="preserve"> Contrato n° 042/2017</w:t>
      </w:r>
      <w:r w:rsidR="00067822">
        <w:t xml:space="preserve">, cujo objeto é a </w:t>
      </w:r>
      <w:r w:rsidR="002E3591">
        <w:t>Concessão</w:t>
      </w:r>
      <w:r w:rsidR="00067822">
        <w:t xml:space="preserve"> </w:t>
      </w:r>
      <w:r w:rsidR="00067822" w:rsidRPr="002C6D6E">
        <w:t xml:space="preserve">dos Serviços de Transporte Coletivo Urbano, firmado </w:t>
      </w:r>
      <w:r w:rsidR="00067822">
        <w:t xml:space="preserve">entre o </w:t>
      </w:r>
      <w:r w:rsidR="00067822" w:rsidRPr="002C6D6E">
        <w:t>município</w:t>
      </w:r>
      <w:r w:rsidR="00067822">
        <w:t xml:space="preserve"> de Blumenau e a</w:t>
      </w:r>
      <w:r w:rsidR="00067822" w:rsidRPr="002C6D6E">
        <w:t xml:space="preserve"> empresa </w:t>
      </w:r>
      <w:r w:rsidR="00067822">
        <w:t>BluMob</w:t>
      </w:r>
      <w:r w:rsidR="00067822" w:rsidRPr="002C6D6E">
        <w:t xml:space="preserve"> </w:t>
      </w:r>
      <w:r w:rsidR="00067822">
        <w:t xml:space="preserve">- </w:t>
      </w:r>
      <w:r w:rsidR="002E3591">
        <w:t>Concessionária</w:t>
      </w:r>
      <w:r w:rsidR="00067822" w:rsidRPr="002C6D6E">
        <w:t xml:space="preserve"> </w:t>
      </w:r>
      <w:r>
        <w:t>d</w:t>
      </w:r>
      <w:r w:rsidR="00067822" w:rsidRPr="002C6D6E">
        <w:t xml:space="preserve">e Transporte Urbano </w:t>
      </w:r>
      <w:r>
        <w:t>d</w:t>
      </w:r>
      <w:r w:rsidR="00067822" w:rsidRPr="002C6D6E">
        <w:t>e Blumenau SPE</w:t>
      </w:r>
      <w:r w:rsidR="00067822">
        <w:t>.</w:t>
      </w:r>
      <w:r w:rsidR="00067822" w:rsidRPr="002C6D6E">
        <w:t xml:space="preserve"> LTDA</w:t>
      </w:r>
      <w:r w:rsidR="00067822">
        <w:t>.</w:t>
      </w:r>
      <w:r w:rsidR="00067822" w:rsidRPr="002C6D6E">
        <w:t>, no qual nos termos do § 5</w:t>
      </w:r>
      <w:r>
        <w:t>º</w:t>
      </w:r>
      <w:r w:rsidR="00067822" w:rsidRPr="002C6D6E">
        <w:t xml:space="preserve"> da Cl</w:t>
      </w:r>
      <w:r w:rsidR="00067822">
        <w:t>á</w:t>
      </w:r>
      <w:r w:rsidR="00067822" w:rsidRPr="002C6D6E">
        <w:t xml:space="preserve">usula </w:t>
      </w:r>
      <w:r w:rsidR="006D0E12">
        <w:t>S</w:t>
      </w:r>
      <w:r w:rsidR="00067822" w:rsidRPr="002C6D6E">
        <w:t>étima, atribui</w:t>
      </w:r>
      <w:r w:rsidR="00067822">
        <w:t>-se</w:t>
      </w:r>
      <w:r w:rsidR="00067822" w:rsidRPr="002C6D6E">
        <w:t xml:space="preserve"> ao SETERB – Serviço Autônomo Municipal de Trânsito e Transporte de Blumenau a função de acompanhar as ações realizadas pela </w:t>
      </w:r>
      <w:r w:rsidR="002E3591">
        <w:t>Concessionária</w:t>
      </w:r>
      <w:r w:rsidR="00067822" w:rsidRPr="002C6D6E">
        <w:t xml:space="preserve">, visando o acompanhamento dos prazos e exigências, relacionadas ao Edital de </w:t>
      </w:r>
      <w:r w:rsidR="002E3591">
        <w:t>Concessão</w:t>
      </w:r>
      <w:r w:rsidR="00067822" w:rsidRPr="002C6D6E">
        <w:t xml:space="preserve"> e ao respectivo Contrato</w:t>
      </w:r>
      <w:r w:rsidR="00067822">
        <w:t>.</w:t>
      </w:r>
    </w:p>
    <w:p w:rsidR="00067822" w:rsidRPr="002C1029" w:rsidRDefault="00067822" w:rsidP="000359FE">
      <w:pPr>
        <w:spacing w:before="0" w:after="0"/>
      </w:pPr>
      <w:r>
        <w:t xml:space="preserve">Porém, conforme </w:t>
      </w:r>
      <w:r w:rsidRPr="002C1029">
        <w:t xml:space="preserve">Cláusula Oitava, do referido </w:t>
      </w:r>
      <w:r w:rsidR="002C1029" w:rsidRPr="002C1029">
        <w:t>C</w:t>
      </w:r>
      <w:r w:rsidRPr="002C1029">
        <w:t>ontrato, “</w:t>
      </w:r>
      <w:r w:rsidRPr="002C1029">
        <w:rPr>
          <w:i/>
        </w:rPr>
        <w:t xml:space="preserve">no caso de criação de Agência de Regulação, dos serviços públicos de transporte coletivo urbano de passageiros, competirá ao SETERB a função de fiscal do presente contrato de </w:t>
      </w:r>
      <w:r w:rsidR="002E3591" w:rsidRPr="002C1029">
        <w:rPr>
          <w:i/>
        </w:rPr>
        <w:t>Concessão</w:t>
      </w:r>
      <w:r w:rsidRPr="002C1029">
        <w:rPr>
          <w:i/>
        </w:rPr>
        <w:t>, sem prejuízo das atribuições legais da Agência de Regulação</w:t>
      </w:r>
      <w:r w:rsidRPr="002C1029">
        <w:t>”</w:t>
      </w:r>
      <w:r w:rsidR="00A37CF0" w:rsidRPr="002C1029">
        <w:t>.</w:t>
      </w:r>
    </w:p>
    <w:p w:rsidR="00067822" w:rsidRPr="002C1029" w:rsidRDefault="00067822" w:rsidP="000359FE">
      <w:pPr>
        <w:spacing w:before="0" w:after="0"/>
      </w:pPr>
      <w:r w:rsidRPr="002C1029">
        <w:t>Assim, a AGIR vem desenvolvendo importante papel em sua região de atuação, considerando o marco regulatório legal, direcionada para a melhor prestação de serviços de saneamento básico e também o transporte coletivo</w:t>
      </w:r>
      <w:r w:rsidR="006D0E12" w:rsidRPr="002C1029">
        <w:t>.</w:t>
      </w:r>
      <w:r w:rsidRPr="002C1029">
        <w:t xml:space="preserve"> Além disso, é papel da Agência Reguladora editar normas relativas às dimensões técnica, econômica e social, atendendo a aspectos de qualidade, requisitos operacionais e de manutenção, metas de universalização, monitoramentos dos custos etc. </w:t>
      </w:r>
    </w:p>
    <w:p w:rsidR="00160BE9" w:rsidRDefault="00067822" w:rsidP="000359FE">
      <w:pPr>
        <w:spacing w:before="0" w:after="0"/>
      </w:pPr>
      <w:r>
        <w:t xml:space="preserve">Destacada a breve apresentação da AGIR, apresentamos na sequência o pleito da prestadora e demais pontos a destacar, contidos em seu pedido entregue a esta Agência </w:t>
      </w:r>
      <w:r w:rsidRPr="00153DBA">
        <w:t>Reguladora</w:t>
      </w:r>
      <w:r w:rsidR="00160BE9" w:rsidRPr="00153DBA">
        <w:t>.</w:t>
      </w:r>
    </w:p>
    <w:p w:rsidR="00686219" w:rsidRPr="00153DBA" w:rsidRDefault="00686219" w:rsidP="000359FE">
      <w:pPr>
        <w:spacing w:before="0" w:after="0"/>
      </w:pPr>
    </w:p>
    <w:p w:rsidR="00D300A3" w:rsidRPr="000359FE" w:rsidRDefault="00933D26" w:rsidP="000359FE">
      <w:pPr>
        <w:pStyle w:val="Monog1texto"/>
        <w:numPr>
          <w:ilvl w:val="0"/>
          <w:numId w:val="11"/>
        </w:numPr>
        <w:ind w:left="567" w:hanging="567"/>
        <w:rPr>
          <w:b/>
        </w:rPr>
      </w:pPr>
      <w:bookmarkStart w:id="2" w:name="art3ib"/>
      <w:bookmarkStart w:id="3" w:name="art3ic"/>
      <w:bookmarkStart w:id="4" w:name="art3id."/>
      <w:bookmarkStart w:id="5" w:name="art3id"/>
      <w:bookmarkEnd w:id="2"/>
      <w:bookmarkEnd w:id="3"/>
      <w:bookmarkEnd w:id="4"/>
      <w:bookmarkEnd w:id="5"/>
      <w:r w:rsidRPr="000359FE">
        <w:rPr>
          <w:b/>
        </w:rPr>
        <w:t>D</w:t>
      </w:r>
      <w:r w:rsidRPr="000359FE">
        <w:rPr>
          <w:b/>
          <w:color w:val="000000" w:themeColor="text1"/>
        </w:rPr>
        <w:t xml:space="preserve">O </w:t>
      </w:r>
      <w:r w:rsidR="00E0698F" w:rsidRPr="000359FE">
        <w:rPr>
          <w:b/>
          <w:color w:val="000000" w:themeColor="text1"/>
          <w:lang w:eastAsia="en-US"/>
        </w:rPr>
        <w:t>PEDIDO DE REAJUSTE</w:t>
      </w:r>
    </w:p>
    <w:p w:rsidR="002C1029" w:rsidRPr="002C1029" w:rsidRDefault="002C1029" w:rsidP="00153DBA">
      <w:pPr>
        <w:spacing w:before="0" w:after="0"/>
        <w:ind w:firstLine="851"/>
      </w:pPr>
    </w:p>
    <w:p w:rsidR="009833D6" w:rsidRPr="000359FE" w:rsidRDefault="001B1ACB" w:rsidP="009833D6">
      <w:pPr>
        <w:spacing w:before="0" w:after="0"/>
      </w:pPr>
      <w:r w:rsidRPr="009833D6">
        <w:t xml:space="preserve">Na data de </w:t>
      </w:r>
      <w:r w:rsidR="00E0698F" w:rsidRPr="009833D6">
        <w:t xml:space="preserve">17 </w:t>
      </w:r>
      <w:r w:rsidRPr="009833D6">
        <w:t xml:space="preserve">de </w:t>
      </w:r>
      <w:r w:rsidR="00E0698F" w:rsidRPr="009833D6">
        <w:t xml:space="preserve">novembro </w:t>
      </w:r>
      <w:r w:rsidRPr="009833D6">
        <w:t>de 2017</w:t>
      </w:r>
      <w:r w:rsidR="00F138F0" w:rsidRPr="009833D6">
        <w:t xml:space="preserve">, </w:t>
      </w:r>
      <w:r w:rsidR="00ED6966" w:rsidRPr="009833D6">
        <w:t xml:space="preserve">a BluMob, </w:t>
      </w:r>
      <w:r w:rsidR="00F654D2" w:rsidRPr="009833D6">
        <w:t xml:space="preserve">em </w:t>
      </w:r>
      <w:r w:rsidR="00160BE9" w:rsidRPr="009833D6">
        <w:t xml:space="preserve">correspondência </w:t>
      </w:r>
      <w:r w:rsidR="00E0698F" w:rsidRPr="009833D6">
        <w:t xml:space="preserve">encaminhada à Procuradoria Geral do </w:t>
      </w:r>
      <w:r w:rsidR="002C1029" w:rsidRPr="009833D6">
        <w:t>m</w:t>
      </w:r>
      <w:r w:rsidR="00E0698F" w:rsidRPr="009833D6">
        <w:t>unicípio de Blumenau, ao SETERB e à AGIR</w:t>
      </w:r>
      <w:r w:rsidR="002C1029" w:rsidRPr="009833D6">
        <w:t>,</w:t>
      </w:r>
      <w:r w:rsidR="00ED6966" w:rsidRPr="009833D6">
        <w:t xml:space="preserve"> aprese</w:t>
      </w:r>
      <w:r w:rsidR="004F6F70" w:rsidRPr="009833D6">
        <w:t>ntou pedido de reajuste da tarifa referente a recomposição monetária por perdas inflacionárias.</w:t>
      </w:r>
    </w:p>
    <w:p w:rsidR="009833D6" w:rsidRPr="000359FE" w:rsidRDefault="009833D6" w:rsidP="009833D6">
      <w:pPr>
        <w:spacing w:before="0" w:after="0"/>
      </w:pPr>
      <w:r w:rsidRPr="000359FE">
        <w:lastRenderedPageBreak/>
        <w:t>O conteúdo expresso neste material aborda as questões definidas no Anexo V do Edital de Concorrência do Processo Licitatório nº 038/2016, Contrato nº 42/2017, bem como as demonstrações dos índices de preços definidos e os cálculos para determinação do IPKeP (Índice de Passageiro por Quilômetro equivalente Posterior).</w:t>
      </w:r>
    </w:p>
    <w:p w:rsidR="009833D6" w:rsidRPr="000359FE" w:rsidRDefault="009833D6" w:rsidP="000359FE">
      <w:pPr>
        <w:spacing w:before="0" w:after="0"/>
      </w:pPr>
      <w:r w:rsidRPr="000359FE">
        <w:t xml:space="preserve">Para definição da variação do preço do combustível (Diesel S10) foram apresentadas as informações contidas na </w:t>
      </w:r>
      <w:r w:rsidR="0010754D">
        <w:fldChar w:fldCharType="begin"/>
      </w:r>
      <w:r w:rsidR="0010754D">
        <w:instrText xml:space="preserve"> REF _Ref499218495 \h  \* MERGEFORMAT </w:instrText>
      </w:r>
      <w:r w:rsidR="0010754D">
        <w:fldChar w:fldCharType="separate"/>
      </w:r>
      <w:r w:rsidR="00E02CAD" w:rsidRPr="00E02CAD">
        <w:t>Figura 2</w:t>
      </w:r>
      <w:r w:rsidR="0010754D">
        <w:fldChar w:fldCharType="end"/>
      </w:r>
      <w:r w:rsidRPr="000359FE">
        <w:t xml:space="preserve">, considerando o preço inicial aquele ocorrido em outubro de 2016 e o preço final definido com base em outubro de 2017. Esse período de doze meses, foi definido e justificado pela Concessionária, a fim de contemplar a variação de doze meses em cada índice. Observa-se também que foi utilizado a variação de </w:t>
      </w:r>
      <w:r w:rsidRPr="000359FE">
        <w:rPr>
          <w:u w:val="single"/>
        </w:rPr>
        <w:t>Preço ao Consumidor</w:t>
      </w:r>
      <w:r w:rsidRPr="000359FE">
        <w:t xml:space="preserve"> e não a variação de </w:t>
      </w:r>
      <w:r w:rsidRPr="000359FE">
        <w:rPr>
          <w:u w:val="single"/>
        </w:rPr>
        <w:t>Preço Distribuidora</w:t>
      </w:r>
      <w:r w:rsidRPr="000359FE">
        <w:t xml:space="preserve">. Essa alteração foi justificada pela descontinuidade do levantamento destas informações em alguns municípios pela Agência Nacional de Petróleo - ANP. </w:t>
      </w:r>
    </w:p>
    <w:p w:rsidR="00563337" w:rsidRDefault="00563337">
      <w:pPr>
        <w:spacing w:before="0" w:after="0"/>
        <w:sectPr w:rsidR="00563337" w:rsidSect="0016609B">
          <w:headerReference w:type="default" r:id="rId9"/>
          <w:footerReference w:type="default" r:id="rId10"/>
          <w:pgSz w:w="11906" w:h="16838"/>
          <w:pgMar w:top="1418" w:right="1134" w:bottom="1418" w:left="1701" w:header="709" w:footer="510" w:gutter="0"/>
          <w:cols w:space="708"/>
          <w:docGrid w:linePitch="360"/>
        </w:sectPr>
      </w:pPr>
    </w:p>
    <w:p w:rsidR="00E63455" w:rsidRPr="00FC1311" w:rsidRDefault="00E63455" w:rsidP="000359FE">
      <w:pPr>
        <w:pStyle w:val="Legenda"/>
        <w:spacing w:after="0"/>
        <w:ind w:firstLine="0"/>
        <w:rPr>
          <w:b/>
          <w:i w:val="0"/>
          <w:iCs w:val="0"/>
          <w:color w:val="auto"/>
          <w:sz w:val="24"/>
          <w:szCs w:val="24"/>
        </w:rPr>
      </w:pPr>
      <w:bookmarkStart w:id="6" w:name="_Ref499218495"/>
      <w:r w:rsidRPr="00FC1311">
        <w:rPr>
          <w:b/>
          <w:i w:val="0"/>
          <w:iCs w:val="0"/>
          <w:color w:val="auto"/>
          <w:sz w:val="24"/>
          <w:szCs w:val="24"/>
        </w:rPr>
        <w:lastRenderedPageBreak/>
        <w:t xml:space="preserve">Figura </w:t>
      </w:r>
      <w:r w:rsidR="0014079C" w:rsidRPr="00FC1311">
        <w:rPr>
          <w:b/>
          <w:i w:val="0"/>
          <w:iCs w:val="0"/>
          <w:color w:val="auto"/>
          <w:sz w:val="24"/>
          <w:szCs w:val="24"/>
        </w:rPr>
        <w:fldChar w:fldCharType="begin"/>
      </w:r>
      <w:r w:rsidRPr="00FC1311">
        <w:rPr>
          <w:b/>
          <w:i w:val="0"/>
          <w:iCs w:val="0"/>
          <w:color w:val="auto"/>
          <w:sz w:val="24"/>
          <w:szCs w:val="24"/>
        </w:rPr>
        <w:instrText xml:space="preserve"> SEQ Figura \* ARABIC </w:instrText>
      </w:r>
      <w:r w:rsidR="0014079C" w:rsidRPr="00FC1311">
        <w:rPr>
          <w:b/>
          <w:i w:val="0"/>
          <w:iCs w:val="0"/>
          <w:color w:val="auto"/>
          <w:sz w:val="24"/>
          <w:szCs w:val="24"/>
        </w:rPr>
        <w:fldChar w:fldCharType="separate"/>
      </w:r>
      <w:r w:rsidR="00E02CAD">
        <w:rPr>
          <w:b/>
          <w:i w:val="0"/>
          <w:iCs w:val="0"/>
          <w:noProof/>
          <w:color w:val="auto"/>
          <w:sz w:val="24"/>
          <w:szCs w:val="24"/>
        </w:rPr>
        <w:t>2</w:t>
      </w:r>
      <w:r w:rsidR="0014079C" w:rsidRPr="00FC1311">
        <w:rPr>
          <w:b/>
          <w:i w:val="0"/>
          <w:iCs w:val="0"/>
          <w:color w:val="auto"/>
          <w:sz w:val="24"/>
          <w:szCs w:val="24"/>
        </w:rPr>
        <w:fldChar w:fldCharType="end"/>
      </w:r>
      <w:bookmarkEnd w:id="6"/>
      <w:r w:rsidRPr="00FC1311">
        <w:rPr>
          <w:b/>
          <w:i w:val="0"/>
          <w:iCs w:val="0"/>
          <w:color w:val="auto"/>
          <w:sz w:val="24"/>
          <w:szCs w:val="24"/>
        </w:rPr>
        <w:t>: Síntese dos preços do combustível (Diesel S10) praticados em Santa Catarina em outubro de 2016 e outubro de 2017.</w:t>
      </w:r>
    </w:p>
    <w:p w:rsidR="007E7AF4" w:rsidRDefault="006138E5" w:rsidP="000359FE">
      <w:pPr>
        <w:spacing w:before="0" w:after="0" w:line="240" w:lineRule="auto"/>
        <w:ind w:firstLine="0"/>
      </w:pPr>
      <w:r>
        <w:rPr>
          <w:noProof/>
        </w:rPr>
        <w:drawing>
          <wp:inline distT="0" distB="0" distL="0" distR="0">
            <wp:extent cx="5767070" cy="3895725"/>
            <wp:effectExtent l="0" t="0" r="5080"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7070" cy="3895725"/>
                    </a:xfrm>
                    <a:prstGeom prst="rect">
                      <a:avLst/>
                    </a:prstGeom>
                    <a:noFill/>
                  </pic:spPr>
                </pic:pic>
              </a:graphicData>
            </a:graphic>
          </wp:inline>
        </w:drawing>
      </w:r>
    </w:p>
    <w:p w:rsidR="00E63455" w:rsidRPr="000359FE" w:rsidRDefault="00E63455" w:rsidP="000359FE">
      <w:pPr>
        <w:spacing w:before="0" w:after="0" w:line="240" w:lineRule="auto"/>
        <w:ind w:firstLine="0"/>
        <w:rPr>
          <w:sz w:val="20"/>
        </w:rPr>
      </w:pPr>
      <w:r>
        <w:rPr>
          <w:sz w:val="20"/>
        </w:rPr>
        <w:t>Fonte: ANP</w:t>
      </w:r>
      <w:r w:rsidR="001065C6">
        <w:rPr>
          <w:sz w:val="20"/>
        </w:rPr>
        <w:t xml:space="preserve"> (2017).</w:t>
      </w:r>
    </w:p>
    <w:p w:rsidR="001065C6" w:rsidRDefault="001065C6">
      <w:pPr>
        <w:spacing w:before="0" w:after="0"/>
      </w:pPr>
    </w:p>
    <w:p w:rsidR="00200934" w:rsidRPr="0046406A" w:rsidRDefault="00200934" w:rsidP="000359FE">
      <w:pPr>
        <w:spacing w:before="0" w:after="0"/>
      </w:pPr>
      <w:r w:rsidRPr="0046406A">
        <w:t xml:space="preserve">A variação salarial foi apresentada considerando a inflação real concedida aos trabalhadores, </w:t>
      </w:r>
      <w:r w:rsidR="0042640E" w:rsidRPr="0046406A">
        <w:t xml:space="preserve">com variação positiva </w:t>
      </w:r>
      <w:r w:rsidRPr="0046406A">
        <w:t>de 1,83%</w:t>
      </w:r>
      <w:r w:rsidR="000B1966" w:rsidRPr="0046406A">
        <w:t>, com base no INPC</w:t>
      </w:r>
      <w:r w:rsidRPr="0046406A">
        <w:t>.</w:t>
      </w:r>
      <w:r w:rsidR="0066720C">
        <w:t xml:space="preserve"> </w:t>
      </w:r>
      <w:r w:rsidRPr="0046406A">
        <w:t>Para a variação do índice de veículos</w:t>
      </w:r>
      <w:r w:rsidR="0042640E" w:rsidRPr="0046406A">
        <w:t xml:space="preserve"> conforme definido,</w:t>
      </w:r>
      <w:r w:rsidRPr="0046406A">
        <w:t xml:space="preserve"> com base na publicação da revista Conjuntura Econômica, foram apresentadas as variações considerando o período de setembro de 2016 a setembro de 2017, a fim de novamente considerar doze meses de intervalo entre o índice anterior e o índice posterior. O período de setembro a setembro foi utilizado pela justificativa de que a publicação da revista apresenta defasagem de dois meses para e atualização deste índice, não sendo possível em novembro ter acesso ao índice de outubro.</w:t>
      </w:r>
    </w:p>
    <w:p w:rsidR="00DB7B84" w:rsidRPr="0046406A" w:rsidRDefault="0042640E" w:rsidP="000359FE">
      <w:pPr>
        <w:spacing w:before="0" w:after="0"/>
      </w:pPr>
      <w:r w:rsidRPr="0046406A">
        <w:t xml:space="preserve">Para o cálculo do </w:t>
      </w:r>
      <w:r w:rsidR="007F11E3" w:rsidRPr="007F11E3">
        <w:t xml:space="preserve">Índice de Passageiro por Quilômetro </w:t>
      </w:r>
      <w:r w:rsidR="007F11E3">
        <w:t>E</w:t>
      </w:r>
      <w:r w:rsidR="007F11E3" w:rsidRPr="007F11E3">
        <w:t>quivalente Posterior</w:t>
      </w:r>
      <w:r w:rsidR="007F11E3">
        <w:t xml:space="preserve"> – </w:t>
      </w:r>
      <w:r w:rsidR="00200934" w:rsidRPr="0046406A">
        <w:t xml:space="preserve">IPKeP </w:t>
      </w:r>
      <w:r w:rsidR="00BA7AA1" w:rsidRPr="0046406A">
        <w:t xml:space="preserve">apresentado, </w:t>
      </w:r>
      <w:r w:rsidR="003901AE">
        <w:t>foram utilizad</w:t>
      </w:r>
      <w:r w:rsidR="00851647">
        <w:t>a</w:t>
      </w:r>
      <w:r w:rsidR="003901AE">
        <w:t xml:space="preserve">s </w:t>
      </w:r>
      <w:r w:rsidR="00BA7AA1" w:rsidRPr="0046406A">
        <w:t>conforme definido no Edita</w:t>
      </w:r>
      <w:r w:rsidRPr="0046406A">
        <w:t>l</w:t>
      </w:r>
      <w:r w:rsidR="00BA7AA1" w:rsidRPr="0046406A">
        <w:t xml:space="preserve">, a demanda equivalente total de cada mês de operação da Concessão (8.022.993), bem como a demanda proporcional (22.273.717,38), definida pela proporcionalidade apresentada na tabela contida na página 3 do </w:t>
      </w:r>
      <w:r w:rsidR="00BA7AA1" w:rsidRPr="0046406A">
        <w:lastRenderedPageBreak/>
        <w:t xml:space="preserve">Anexo V. Foi também apresentado pela Concessionária, uma estimativa da quilometragem anual (16.404.883,28 km), definido com base nas </w:t>
      </w:r>
      <w:r w:rsidR="00B653B7" w:rsidRPr="0046406A">
        <w:t>informações</w:t>
      </w:r>
      <w:r w:rsidR="00BA7AA1" w:rsidRPr="0046406A">
        <w:t xml:space="preserve"> </w:t>
      </w:r>
      <w:r w:rsidR="00B653B7" w:rsidRPr="0046406A">
        <w:t>dispostas</w:t>
      </w:r>
      <w:r w:rsidR="00BA7AA1" w:rsidRPr="0046406A">
        <w:t xml:space="preserve"> no </w:t>
      </w:r>
      <w:r w:rsidR="00B653B7" w:rsidRPr="0046406A">
        <w:t>E</w:t>
      </w:r>
      <w:r w:rsidR="00BA7AA1" w:rsidRPr="0046406A">
        <w:t>dital, considerando:</w:t>
      </w:r>
    </w:p>
    <w:p w:rsidR="00BA7AA1" w:rsidRPr="000359FE" w:rsidRDefault="00BA7AA1" w:rsidP="000359FE">
      <w:pPr>
        <w:numPr>
          <w:ilvl w:val="0"/>
          <w:numId w:val="12"/>
        </w:numPr>
        <w:spacing w:before="0" w:after="0"/>
        <w:ind w:hanging="862"/>
        <w:rPr>
          <w:i/>
        </w:rPr>
      </w:pPr>
      <w:r w:rsidRPr="000359FE">
        <w:rPr>
          <w:i/>
        </w:rPr>
        <w:t>Identificação da programação de dia útil, para meses sem férias.</w:t>
      </w:r>
    </w:p>
    <w:p w:rsidR="00BA7AA1" w:rsidRPr="000359FE" w:rsidRDefault="00BA7AA1" w:rsidP="000359FE">
      <w:pPr>
        <w:numPr>
          <w:ilvl w:val="0"/>
          <w:numId w:val="12"/>
        </w:numPr>
        <w:spacing w:before="0" w:after="0"/>
        <w:ind w:hanging="862"/>
        <w:rPr>
          <w:i/>
        </w:rPr>
      </w:pPr>
      <w:r w:rsidRPr="000359FE">
        <w:rPr>
          <w:i/>
        </w:rPr>
        <w:t>Identificação da programação de sábado, para meses sem férias.</w:t>
      </w:r>
    </w:p>
    <w:p w:rsidR="00BA7AA1" w:rsidRPr="000359FE" w:rsidRDefault="00BA7AA1" w:rsidP="000359FE">
      <w:pPr>
        <w:numPr>
          <w:ilvl w:val="0"/>
          <w:numId w:val="12"/>
        </w:numPr>
        <w:spacing w:before="0" w:after="0"/>
        <w:ind w:hanging="862"/>
        <w:rPr>
          <w:i/>
        </w:rPr>
      </w:pPr>
      <w:r w:rsidRPr="000359FE">
        <w:rPr>
          <w:i/>
        </w:rPr>
        <w:t>Identificação da programação de domingo, para meses sem férias.</w:t>
      </w:r>
    </w:p>
    <w:p w:rsidR="00BA7AA1" w:rsidRPr="000359FE" w:rsidRDefault="00BA7AA1" w:rsidP="000359FE">
      <w:pPr>
        <w:numPr>
          <w:ilvl w:val="0"/>
          <w:numId w:val="12"/>
        </w:numPr>
        <w:spacing w:before="0" w:after="0"/>
        <w:ind w:hanging="862"/>
        <w:rPr>
          <w:i/>
        </w:rPr>
      </w:pPr>
      <w:r w:rsidRPr="000359FE">
        <w:rPr>
          <w:i/>
        </w:rPr>
        <w:t>Cálculo da km semana através da multiplicação da km de dia útil por 5, mais a soma da km do sábado e do domingo.</w:t>
      </w:r>
    </w:p>
    <w:p w:rsidR="00BA7AA1" w:rsidRPr="000359FE" w:rsidRDefault="00BA7AA1" w:rsidP="000359FE">
      <w:pPr>
        <w:numPr>
          <w:ilvl w:val="0"/>
          <w:numId w:val="12"/>
        </w:numPr>
        <w:spacing w:before="0" w:after="0"/>
        <w:ind w:hanging="862"/>
        <w:rPr>
          <w:i/>
        </w:rPr>
      </w:pPr>
      <w:r w:rsidRPr="000359FE">
        <w:rPr>
          <w:i/>
        </w:rPr>
        <w:t xml:space="preserve">Acrescenta ao resultado anterior 4% de km </w:t>
      </w:r>
      <w:r w:rsidR="0046624D" w:rsidRPr="0046406A">
        <w:rPr>
          <w:i/>
        </w:rPr>
        <w:t>ociosa</w:t>
      </w:r>
      <w:r w:rsidRPr="000359FE">
        <w:rPr>
          <w:i/>
        </w:rPr>
        <w:t>.</w:t>
      </w:r>
    </w:p>
    <w:p w:rsidR="00BA7AA1" w:rsidRPr="000359FE" w:rsidRDefault="00BA7AA1" w:rsidP="000359FE">
      <w:pPr>
        <w:numPr>
          <w:ilvl w:val="0"/>
          <w:numId w:val="12"/>
        </w:numPr>
        <w:spacing w:before="0" w:after="0"/>
        <w:ind w:hanging="862"/>
        <w:rPr>
          <w:i/>
        </w:rPr>
      </w:pPr>
      <w:r w:rsidRPr="000359FE">
        <w:rPr>
          <w:i/>
        </w:rPr>
        <w:t>Aplica fator redutor de 0,36% para considerar os períodos de férias e feriados</w:t>
      </w:r>
      <w:r w:rsidRPr="0046406A">
        <w:rPr>
          <w:i/>
        </w:rPr>
        <w:t>.</w:t>
      </w:r>
    </w:p>
    <w:p w:rsidR="00BA7AA1" w:rsidRPr="000359FE" w:rsidRDefault="00BA7AA1" w:rsidP="000359FE">
      <w:pPr>
        <w:numPr>
          <w:ilvl w:val="0"/>
          <w:numId w:val="12"/>
        </w:numPr>
        <w:spacing w:before="0" w:after="0"/>
        <w:ind w:hanging="862"/>
        <w:rPr>
          <w:i/>
        </w:rPr>
      </w:pPr>
      <w:r w:rsidRPr="000359FE">
        <w:rPr>
          <w:i/>
        </w:rPr>
        <w:t>Multiplica o resultado por 52 semanas para obter a km anual.</w:t>
      </w:r>
    </w:p>
    <w:p w:rsidR="000A0518" w:rsidRPr="0046406A" w:rsidRDefault="000A0518" w:rsidP="000359FE">
      <w:pPr>
        <w:spacing w:before="0" w:after="0"/>
      </w:pPr>
      <w:r w:rsidRPr="0046406A">
        <w:t xml:space="preserve">Dessa maneira, a Concessionária obteve os valores necessários para calcular o IPKeP que resulta da razão entre demanda equivalente </w:t>
      </w:r>
      <w:r w:rsidR="005F7236" w:rsidRPr="0046406A">
        <w:t>e os quilômetros</w:t>
      </w:r>
      <w:r w:rsidRPr="0046406A">
        <w:t xml:space="preserve"> percorrido. Demonstrado na Equação 1.</w:t>
      </w:r>
    </w:p>
    <w:p w:rsidR="000A0518" w:rsidRDefault="00F75AB4" w:rsidP="000359FE">
      <w:pPr>
        <w:jc w:val="center"/>
      </w:pPr>
      <m:oMath>
        <m:r>
          <w:rPr>
            <w:rFonts w:ascii="Cambria Math" w:hAnsi="Cambria Math"/>
          </w:rPr>
          <m:t>IPKeP=</m:t>
        </m:r>
        <m:f>
          <m:fPr>
            <m:ctrlPr>
              <w:rPr>
                <w:rFonts w:ascii="Cambria Math" w:hAnsi="Cambria Math"/>
                <w:i/>
              </w:rPr>
            </m:ctrlPr>
          </m:fPr>
          <m:num>
            <m:r>
              <w:rPr>
                <w:rFonts w:ascii="Cambria Math" w:hAnsi="Cambria Math"/>
              </w:rPr>
              <m:t>Quantidade de Passageiro Equivalente</m:t>
            </m:r>
          </m:num>
          <m:den>
            <m:r>
              <w:rPr>
                <w:rFonts w:ascii="Cambria Math" w:hAnsi="Cambria Math"/>
              </w:rPr>
              <m:t>Quantidade de km rodado</m:t>
            </m:r>
          </m:den>
        </m:f>
        <m:r>
          <w:rPr>
            <w:rFonts w:ascii="Cambria Math" w:hAnsi="Cambria Math"/>
          </w:rPr>
          <m:t>=</m:t>
        </m:r>
        <m:f>
          <m:fPr>
            <m:ctrlPr>
              <w:rPr>
                <w:rFonts w:ascii="Cambria Math" w:hAnsi="Cambria Math"/>
                <w:i/>
              </w:rPr>
            </m:ctrlPr>
          </m:fPr>
          <m:num>
            <m:r>
              <m:rPr>
                <m:sty m:val="p"/>
              </m:rPr>
              <w:rPr>
                <w:rFonts w:ascii="Cambria Math" w:hAnsi="Cambria Math"/>
              </w:rPr>
              <m:t>22.273.717,38</m:t>
            </m:r>
          </m:num>
          <m:den>
            <m:r>
              <m:rPr>
                <m:sty m:val="p"/>
              </m:rPr>
              <w:rPr>
                <w:rFonts w:ascii="Cambria Math" w:hAnsi="Cambria Math"/>
              </w:rPr>
              <m:t>16.404.883,28</m:t>
            </m:r>
          </m:den>
        </m:f>
        <m:r>
          <w:rPr>
            <w:rFonts w:ascii="Cambria Math" w:hAnsi="Cambria Math"/>
          </w:rPr>
          <m:t>=1,3577</m:t>
        </m:r>
      </m:oMath>
      <w:r w:rsidR="007C457B">
        <w:t xml:space="preserve">    (</w:t>
      </w:r>
      <w:r w:rsidR="00B653B7">
        <w:t>1</w:t>
      </w:r>
      <w:r w:rsidR="007C457B">
        <w:t>)</w:t>
      </w:r>
    </w:p>
    <w:p w:rsidR="007D6928" w:rsidRDefault="007D6928" w:rsidP="00153DBA">
      <w:pPr>
        <w:spacing w:before="0" w:after="0"/>
      </w:pPr>
    </w:p>
    <w:p w:rsidR="00BA7AA1" w:rsidRDefault="00200934" w:rsidP="000359FE">
      <w:pPr>
        <w:spacing w:before="0" w:after="0"/>
      </w:pPr>
      <w:r>
        <w:t>Após estas apresentações,</w:t>
      </w:r>
      <w:r w:rsidR="000B1966">
        <w:t xml:space="preserve"> no pedido encaminhado pela Concessionária foram expostos os cálculos para definição do reajuste tarifário, exibidos na </w:t>
      </w:r>
      <w:r w:rsidR="0010754D">
        <w:fldChar w:fldCharType="begin"/>
      </w:r>
      <w:r w:rsidR="0010754D">
        <w:instrText xml:space="preserve"> REF _Ref499219800 \h  \* MERGEFORMAT </w:instrText>
      </w:r>
      <w:r w:rsidR="0010754D">
        <w:fldChar w:fldCharType="separate"/>
      </w:r>
      <w:r w:rsidR="00E02CAD" w:rsidRPr="00E02CAD">
        <w:rPr>
          <w:iCs/>
        </w:rPr>
        <w:t>Figura 3</w:t>
      </w:r>
      <w:r w:rsidR="0010754D">
        <w:fldChar w:fldCharType="end"/>
      </w:r>
      <w:r w:rsidR="000B1966" w:rsidRPr="007D1742">
        <w:t>.</w:t>
      </w:r>
      <w:r w:rsidR="000B1966">
        <w:t xml:space="preserve"> Pode-se observar nesta </w:t>
      </w:r>
      <w:r w:rsidR="007D6928">
        <w:t>F</w:t>
      </w:r>
      <w:r w:rsidR="000B1966">
        <w:t xml:space="preserve">igura os índices utilizados, o mês de referência de cada </w:t>
      </w:r>
      <w:r w:rsidR="007C457B">
        <w:t>índice e</w:t>
      </w:r>
      <w:r w:rsidR="000B1966">
        <w:t xml:space="preserve"> a variação ocorrida, o peso de cada item já definido no Edital e o coeficiente de reajuste para cada um dos itens. A variação inflacionária apurada pela Concessionária</w:t>
      </w:r>
      <w:r w:rsidR="007C457B">
        <w:t>, respeitado</w:t>
      </w:r>
      <w:r w:rsidR="007D6928">
        <w:t>s</w:t>
      </w:r>
      <w:r w:rsidR="007C457B">
        <w:t xml:space="preserve"> os pesos,</w:t>
      </w:r>
      <w:r w:rsidR="000B1966">
        <w:t xml:space="preserve"> so</w:t>
      </w:r>
      <w:r w:rsidR="00534C4B">
        <w:t>ma</w:t>
      </w:r>
      <w:r w:rsidR="000B1966">
        <w:t xml:space="preserve"> 2,80%</w:t>
      </w:r>
      <w:r w:rsidR="00534C4B">
        <w:t>, resultado da soma da inflação ocorrida pelo peso de cada um dos itens, dessa forma,</w:t>
      </w:r>
      <w:r w:rsidR="00BC38AE">
        <w:t xml:space="preserve"> </w:t>
      </w:r>
      <w:r w:rsidR="007D6928">
        <w:t>o</w:t>
      </w:r>
      <w:r w:rsidR="00BC38AE">
        <w:t xml:space="preserve"> resultante d</w:t>
      </w:r>
      <w:r w:rsidR="00534C4B">
        <w:t xml:space="preserve">a soma de 1,02% (variação do preço do combustível), 1,19% (variação do salário do motorista) e 0,59% (variação do índice de veículos, reboques e carrocerias). A </w:t>
      </w:r>
      <w:r w:rsidR="00BC38AE">
        <w:t>variação do</w:t>
      </w:r>
      <w:r w:rsidR="00534C4B">
        <w:t xml:space="preserve"> IPKe que define o denominador é resultante da relação da variação deste índice em relação ao índice definido no Edital, nesse caso o IPKeA é de 1,477.</w:t>
      </w:r>
      <w:r w:rsidR="00BC38AE">
        <w:t xml:space="preserve"> Desta forma, </w:t>
      </w:r>
      <w:r w:rsidR="007D6928">
        <w:t>o</w:t>
      </w:r>
      <w:r w:rsidR="00BC38AE">
        <w:t xml:space="preserve"> resultante apresentad</w:t>
      </w:r>
      <w:r w:rsidR="007D6928">
        <w:t>o</w:t>
      </w:r>
      <w:r w:rsidR="00BC38AE">
        <w:t xml:space="preserve"> </w:t>
      </w:r>
      <w:r w:rsidR="00B653B7">
        <w:t>no denominador da equação de reajuste</w:t>
      </w:r>
      <w:r w:rsidR="00BC38AE">
        <w:t xml:space="preserve"> </w:t>
      </w:r>
      <w:r w:rsidR="00B653B7">
        <w:t xml:space="preserve">é </w:t>
      </w:r>
      <w:r w:rsidR="00BC38AE">
        <w:t>0,9193.</w:t>
      </w:r>
    </w:p>
    <w:p w:rsidR="00E63455" w:rsidRPr="00F7369F" w:rsidRDefault="00E63455" w:rsidP="000359FE">
      <w:pPr>
        <w:pStyle w:val="Legenda"/>
        <w:spacing w:after="0"/>
        <w:ind w:firstLine="0"/>
        <w:rPr>
          <w:b/>
          <w:i w:val="0"/>
          <w:iCs w:val="0"/>
          <w:color w:val="auto"/>
          <w:sz w:val="24"/>
          <w:szCs w:val="24"/>
        </w:rPr>
      </w:pPr>
      <w:bookmarkStart w:id="7" w:name="_Ref499219800"/>
      <w:r w:rsidRPr="00F7369F">
        <w:rPr>
          <w:b/>
          <w:i w:val="0"/>
          <w:iCs w:val="0"/>
          <w:color w:val="auto"/>
          <w:sz w:val="24"/>
          <w:szCs w:val="24"/>
        </w:rPr>
        <w:lastRenderedPageBreak/>
        <w:t xml:space="preserve">Figura </w:t>
      </w:r>
      <w:r w:rsidR="0014079C" w:rsidRPr="00F7369F">
        <w:rPr>
          <w:b/>
          <w:i w:val="0"/>
          <w:iCs w:val="0"/>
          <w:color w:val="auto"/>
          <w:sz w:val="24"/>
          <w:szCs w:val="24"/>
        </w:rPr>
        <w:fldChar w:fldCharType="begin"/>
      </w:r>
      <w:r w:rsidRPr="00F7369F">
        <w:rPr>
          <w:b/>
          <w:i w:val="0"/>
          <w:iCs w:val="0"/>
          <w:color w:val="auto"/>
          <w:sz w:val="24"/>
          <w:szCs w:val="24"/>
        </w:rPr>
        <w:instrText xml:space="preserve"> SEQ Figura \* ARABIC </w:instrText>
      </w:r>
      <w:r w:rsidR="0014079C" w:rsidRPr="00F7369F">
        <w:rPr>
          <w:b/>
          <w:i w:val="0"/>
          <w:iCs w:val="0"/>
          <w:color w:val="auto"/>
          <w:sz w:val="24"/>
          <w:szCs w:val="24"/>
        </w:rPr>
        <w:fldChar w:fldCharType="separate"/>
      </w:r>
      <w:r w:rsidR="00E02CAD">
        <w:rPr>
          <w:b/>
          <w:i w:val="0"/>
          <w:iCs w:val="0"/>
          <w:noProof/>
          <w:color w:val="auto"/>
          <w:sz w:val="24"/>
          <w:szCs w:val="24"/>
        </w:rPr>
        <w:t>3</w:t>
      </w:r>
      <w:r w:rsidR="0014079C" w:rsidRPr="00F7369F">
        <w:rPr>
          <w:b/>
          <w:i w:val="0"/>
          <w:iCs w:val="0"/>
          <w:color w:val="auto"/>
          <w:sz w:val="24"/>
          <w:szCs w:val="24"/>
        </w:rPr>
        <w:fldChar w:fldCharType="end"/>
      </w:r>
      <w:bookmarkEnd w:id="7"/>
      <w:r w:rsidRPr="00F7369F">
        <w:rPr>
          <w:b/>
          <w:i w:val="0"/>
          <w:iCs w:val="0"/>
          <w:color w:val="auto"/>
          <w:sz w:val="24"/>
          <w:szCs w:val="24"/>
        </w:rPr>
        <w:t>: Base de cálculo do reajuste tarifário do sistema de transporte coletivo de Blumenau.</w:t>
      </w:r>
    </w:p>
    <w:p w:rsidR="000B1966" w:rsidRDefault="000B1966" w:rsidP="000359FE">
      <w:pPr>
        <w:spacing w:before="0" w:after="0" w:line="240" w:lineRule="auto"/>
        <w:ind w:firstLine="0"/>
      </w:pPr>
      <w:r>
        <w:rPr>
          <w:noProof/>
        </w:rPr>
        <w:drawing>
          <wp:inline distT="0" distB="0" distL="0" distR="0">
            <wp:extent cx="5760085" cy="1965325"/>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760085" cy="1965325"/>
                    </a:xfrm>
                    <a:prstGeom prst="rect">
                      <a:avLst/>
                    </a:prstGeom>
                  </pic:spPr>
                </pic:pic>
              </a:graphicData>
            </a:graphic>
          </wp:inline>
        </w:drawing>
      </w:r>
    </w:p>
    <w:p w:rsidR="00E63455" w:rsidRPr="000359FE" w:rsidRDefault="00E63455" w:rsidP="000359FE">
      <w:pPr>
        <w:spacing w:before="0" w:after="0" w:line="240" w:lineRule="auto"/>
        <w:ind w:firstLine="0"/>
        <w:rPr>
          <w:sz w:val="20"/>
        </w:rPr>
      </w:pPr>
      <w:r>
        <w:rPr>
          <w:sz w:val="20"/>
        </w:rPr>
        <w:t>Fonte: Pedido de reajuste tarifário BluMob</w:t>
      </w:r>
      <w:r w:rsidR="007D6928">
        <w:rPr>
          <w:sz w:val="20"/>
        </w:rPr>
        <w:t xml:space="preserve"> (2017)</w:t>
      </w:r>
      <w:r>
        <w:rPr>
          <w:sz w:val="20"/>
        </w:rPr>
        <w:t>.</w:t>
      </w:r>
    </w:p>
    <w:p w:rsidR="007D6928" w:rsidRPr="006D0730" w:rsidRDefault="007D6928" w:rsidP="00153DBA">
      <w:pPr>
        <w:spacing w:before="0" w:after="0"/>
        <w:ind w:firstLine="708"/>
      </w:pPr>
    </w:p>
    <w:p w:rsidR="006D0730" w:rsidRPr="000359FE" w:rsidRDefault="006D0730" w:rsidP="000359FE">
      <w:pPr>
        <w:spacing w:before="0" w:after="0"/>
      </w:pPr>
      <w:r w:rsidRPr="000359FE">
        <w:t>Após definir todos os índices inflacionários no cálculo apresentado pela Concessionária, a inflação calculada ponderada pelos pesos definidos (2,80%) foi dividida pelo denominador (0,9193), obtendo assim o percentual de reajuste de 3,05%. A tarifa resultante deste processo atualizada pelo valor calculado é de R$4,02. Destaca-se aqui um equívoco (erro) de cálculo apresentado pela Concessionária, pois o processo de cálculo está invertido, quando ao dividir a inflação ocorrida já ponderada pelo denominador da equação e a seguir multiplicar pela tarifa atual ocorre então a inversão. De fato, o processo de cálculo de reajuste, segundo a equação definida no Edital, para definição da tarifa reajustada expressa que a tarifa atual deve ser atualizada pela inflação ponderada e posteriormente ser dividida pelo denominador calculado (razão de variação do IPKe).</w:t>
      </w:r>
    </w:p>
    <w:p w:rsidR="00094210" w:rsidRDefault="009D1A32" w:rsidP="000359FE">
      <w:pPr>
        <w:spacing w:before="0" w:after="0"/>
        <w:ind w:firstLine="708"/>
      </w:pPr>
      <w:r w:rsidRPr="006D0730">
        <w:t xml:space="preserve">Para além do </w:t>
      </w:r>
      <w:r w:rsidR="00925EA7">
        <w:t>r</w:t>
      </w:r>
      <w:r w:rsidRPr="006D0730">
        <w:t>eajuste, a Concessionária</w:t>
      </w:r>
      <w:r>
        <w:t xml:space="preserve"> também apresentou</w:t>
      </w:r>
      <w:r w:rsidR="00094210">
        <w:t>,</w:t>
      </w:r>
      <w:r>
        <w:t xml:space="preserve"> </w:t>
      </w:r>
      <w:r w:rsidR="00615D6A">
        <w:t xml:space="preserve">seu pedido de </w:t>
      </w:r>
      <w:r>
        <w:t>recomposição financeira pela perda de receita ocasionada pelo aumento da alíquota dos impostos PIS e COFINS sobre o preço dos combustíveis</w:t>
      </w:r>
      <w:r w:rsidR="00094210">
        <w:t xml:space="preserve"> ocorrido em julho de 2017, após aprovação Nacional. </w:t>
      </w:r>
    </w:p>
    <w:p w:rsidR="00633952" w:rsidRDefault="00094210" w:rsidP="00153DBA">
      <w:pPr>
        <w:spacing w:before="0" w:after="0"/>
        <w:ind w:firstLine="851"/>
      </w:pPr>
      <w:r>
        <w:t xml:space="preserve">Neste pedido, a Concessionária </w:t>
      </w:r>
      <w:r w:rsidR="00615D6A">
        <w:t>expô</w:t>
      </w:r>
      <w:r>
        <w:t xml:space="preserve">s seus argumentos justificando a recomposição destas perdas para os meses de julho a outubro, sendo que no mês de julho considerou-se apenas a proporcionalidade dos dias após incremento das alíquotas, resultando em um desequilíbrio de R$588.324,69 </w:t>
      </w:r>
      <w:r w:rsidR="00FD5A16">
        <w:t xml:space="preserve">no período apurado. Segundo a Concessionária, para recuperação deste valor, seria necessário incrementar R$0,03 centavos a tarifa reajustada, </w:t>
      </w:r>
      <w:r w:rsidR="00FD5A16">
        <w:lastRenderedPageBreak/>
        <w:t xml:space="preserve">sendo o pleito final do reajuste composto pela recomposição inflacionaria mais a recomposição financeira, resultando </w:t>
      </w:r>
      <w:r w:rsidR="00615D6A">
        <w:t xml:space="preserve">no pedido de </w:t>
      </w:r>
      <w:r w:rsidR="00FD5A16">
        <w:t>uma tarifa com valor de R$4,05.</w:t>
      </w:r>
    </w:p>
    <w:p w:rsidR="00FD5A16" w:rsidRDefault="00FD5A16" w:rsidP="00153DBA">
      <w:pPr>
        <w:spacing w:before="0" w:after="0"/>
        <w:ind w:firstLine="851"/>
      </w:pPr>
      <w:r>
        <w:t>Segundo explicação apresentada pela própria Concessionária, só se faz necessário recompor os meses após aumento das alíquotas e até o reajust</w:t>
      </w:r>
      <w:r w:rsidR="00615D6A">
        <w:t>e</w:t>
      </w:r>
      <w:r>
        <w:t xml:space="preserve">, visto que, o reajuste já irá considerar o novo preço do combustível (Diesel S10) para o restante do período. </w:t>
      </w:r>
    </w:p>
    <w:p w:rsidR="00615D6A" w:rsidRDefault="00615D6A" w:rsidP="000359FE">
      <w:pPr>
        <w:spacing w:before="0" w:after="0"/>
        <w:ind w:firstLine="851"/>
      </w:pPr>
      <w:r>
        <w:t xml:space="preserve">Observa-se que a Concessionária já havia protocolado um pedido de Revisão Tarifária Extraordinária – RTE, provocando a abertura do </w:t>
      </w:r>
      <w:r w:rsidRPr="00615D6A">
        <w:t>Procedimento Administrativo</w:t>
      </w:r>
      <w:r w:rsidR="00F3724E">
        <w:t xml:space="preserve"> nº</w:t>
      </w:r>
      <w:r w:rsidRPr="00615D6A">
        <w:t xml:space="preserve"> 038</w:t>
      </w:r>
      <w:r w:rsidR="00F3724E">
        <w:t>/2017</w:t>
      </w:r>
      <w:r w:rsidRPr="00615D6A">
        <w:t xml:space="preserve"> - Revisão tarifária Transporte Coletivo Blumenau</w:t>
      </w:r>
      <w:r>
        <w:t xml:space="preserve">, </w:t>
      </w:r>
      <w:r w:rsidR="00680E1C">
        <w:t>que após análises Técnica e Jurídica teve em seu Despacho, acompanhando os demais pareceres, o pedido de RTE negado.</w:t>
      </w:r>
    </w:p>
    <w:p w:rsidR="00094210" w:rsidRDefault="00094210" w:rsidP="000359FE">
      <w:pPr>
        <w:spacing w:before="0" w:after="0"/>
        <w:ind w:firstLine="851"/>
      </w:pPr>
    </w:p>
    <w:p w:rsidR="00633952" w:rsidRDefault="00633952" w:rsidP="000359FE">
      <w:pPr>
        <w:numPr>
          <w:ilvl w:val="0"/>
          <w:numId w:val="11"/>
        </w:numPr>
        <w:spacing w:before="0" w:after="0"/>
        <w:rPr>
          <w:b/>
        </w:rPr>
      </w:pPr>
      <w:r w:rsidRPr="000359FE">
        <w:rPr>
          <w:b/>
        </w:rPr>
        <w:t>DO PARECER</w:t>
      </w:r>
    </w:p>
    <w:p w:rsidR="00FE437D" w:rsidRDefault="00FE437D" w:rsidP="00153DBA">
      <w:pPr>
        <w:spacing w:before="0" w:after="0"/>
        <w:ind w:firstLine="851"/>
      </w:pPr>
    </w:p>
    <w:p w:rsidR="00FE437D" w:rsidRDefault="00FE437D" w:rsidP="00153DBA">
      <w:pPr>
        <w:spacing w:before="0" w:after="0"/>
        <w:ind w:firstLine="851"/>
      </w:pPr>
      <w:r>
        <w:t xml:space="preserve">O reajuste da tarifa do transporte público coletivo de Blumenau está previsto no processo de Concessão deste serviço, especificamente no Anexo V – Regras de Reajuste e Revisões Tarifárias. </w:t>
      </w:r>
    </w:p>
    <w:p w:rsidR="00FE437D" w:rsidRDefault="00FE437D" w:rsidP="000359FE">
      <w:pPr>
        <w:spacing w:before="0" w:after="0"/>
        <w:ind w:firstLine="851"/>
      </w:pPr>
      <w:r>
        <w:t>No Anexo V estão definidas algumas regras para o reajuste e</w:t>
      </w:r>
      <w:r w:rsidR="004035FC">
        <w:t>,</w:t>
      </w:r>
      <w:r>
        <w:t xml:space="preserve"> de forma específica regras para o primeiro reajuste, </w:t>
      </w:r>
      <w:r w:rsidR="0046624D">
        <w:t>este</w:t>
      </w:r>
      <w:r>
        <w:t xml:space="preserve"> em questão.</w:t>
      </w:r>
      <w:r w:rsidR="004035FC">
        <w:t xml:space="preserve"> O Anexo possui definições como:</w:t>
      </w:r>
    </w:p>
    <w:p w:rsidR="00FE437D" w:rsidRPr="000359FE" w:rsidRDefault="00FE437D" w:rsidP="000359FE">
      <w:pPr>
        <w:spacing w:before="0" w:after="0" w:line="240" w:lineRule="auto"/>
        <w:ind w:left="2268" w:firstLine="0"/>
        <w:rPr>
          <w:sz w:val="22"/>
          <w:szCs w:val="22"/>
        </w:rPr>
      </w:pPr>
      <w:r w:rsidRPr="000359FE">
        <w:rPr>
          <w:sz w:val="22"/>
          <w:szCs w:val="22"/>
        </w:rPr>
        <w:t xml:space="preserve">1.1. O processo de reajuste ocorre anualmente, </w:t>
      </w:r>
      <w:r w:rsidR="004035FC" w:rsidRPr="000359FE">
        <w:rPr>
          <w:sz w:val="22"/>
          <w:szCs w:val="22"/>
        </w:rPr>
        <w:t xml:space="preserve">sempre no dia 1º de dezembro, e </w:t>
      </w:r>
      <w:r w:rsidRPr="000359FE">
        <w:rPr>
          <w:sz w:val="22"/>
          <w:szCs w:val="22"/>
        </w:rPr>
        <w:t>será calculado de acordo com a fórmula prevista nesta metodologia.</w:t>
      </w:r>
    </w:p>
    <w:p w:rsidR="00FE437D" w:rsidRPr="000359FE" w:rsidRDefault="00FE437D" w:rsidP="00153DBA">
      <w:pPr>
        <w:spacing w:before="0" w:after="0" w:line="240" w:lineRule="auto"/>
        <w:ind w:left="2268" w:firstLine="0"/>
        <w:rPr>
          <w:sz w:val="22"/>
          <w:szCs w:val="22"/>
        </w:rPr>
      </w:pPr>
      <w:r w:rsidRPr="000359FE">
        <w:rPr>
          <w:sz w:val="22"/>
          <w:szCs w:val="22"/>
        </w:rPr>
        <w:t>1.2. Os valores dos insumos constantes no Edital e planilha de fluxo de caixa, e</w:t>
      </w:r>
      <w:r w:rsidR="004035FC" w:rsidRPr="000359FE">
        <w:rPr>
          <w:sz w:val="22"/>
          <w:szCs w:val="22"/>
        </w:rPr>
        <w:t xml:space="preserve"> </w:t>
      </w:r>
      <w:r w:rsidRPr="000359FE">
        <w:rPr>
          <w:sz w:val="22"/>
          <w:szCs w:val="22"/>
        </w:rPr>
        <w:t>validos para reajuste, possuem como data base dezembro de 2016, sendo essa a data</w:t>
      </w:r>
      <w:r w:rsidR="004035FC" w:rsidRPr="000359FE">
        <w:rPr>
          <w:sz w:val="22"/>
          <w:szCs w:val="22"/>
        </w:rPr>
        <w:t xml:space="preserve"> </w:t>
      </w:r>
      <w:r w:rsidRPr="000359FE">
        <w:rPr>
          <w:sz w:val="22"/>
          <w:szCs w:val="22"/>
        </w:rPr>
        <w:t>base para o primeiro reajuste.</w:t>
      </w:r>
    </w:p>
    <w:p w:rsidR="00FE437D" w:rsidRPr="000359FE" w:rsidRDefault="00FE437D" w:rsidP="00153DBA">
      <w:pPr>
        <w:spacing w:before="0" w:after="0" w:line="240" w:lineRule="auto"/>
        <w:ind w:left="2268" w:firstLine="0"/>
        <w:rPr>
          <w:sz w:val="22"/>
          <w:szCs w:val="22"/>
        </w:rPr>
      </w:pPr>
      <w:r w:rsidRPr="000359FE">
        <w:rPr>
          <w:sz w:val="22"/>
          <w:szCs w:val="22"/>
        </w:rPr>
        <w:t>1.3. Compete à Concessionária, observadas as regras previstas neste Anexo,</w:t>
      </w:r>
      <w:r w:rsidR="004035FC" w:rsidRPr="000359FE">
        <w:rPr>
          <w:sz w:val="22"/>
          <w:szCs w:val="22"/>
        </w:rPr>
        <w:t xml:space="preserve"> </w:t>
      </w:r>
      <w:r w:rsidRPr="000359FE">
        <w:rPr>
          <w:sz w:val="22"/>
          <w:szCs w:val="22"/>
        </w:rPr>
        <w:t>promover o cálculo do reajuste do valor da tarifa a ser implementada, devendo</w:t>
      </w:r>
      <w:r w:rsidR="004035FC" w:rsidRPr="000359FE">
        <w:rPr>
          <w:sz w:val="22"/>
          <w:szCs w:val="22"/>
        </w:rPr>
        <w:t xml:space="preserve"> </w:t>
      </w:r>
      <w:r w:rsidRPr="000359FE">
        <w:rPr>
          <w:sz w:val="22"/>
          <w:szCs w:val="22"/>
        </w:rPr>
        <w:t>submeter ao Poder Concedente ou Agência Reguladora, caso existente, para</w:t>
      </w:r>
      <w:r w:rsidR="004035FC" w:rsidRPr="000359FE">
        <w:rPr>
          <w:sz w:val="22"/>
          <w:szCs w:val="22"/>
        </w:rPr>
        <w:t xml:space="preserve"> </w:t>
      </w:r>
      <w:r w:rsidRPr="000359FE">
        <w:rPr>
          <w:sz w:val="22"/>
          <w:szCs w:val="22"/>
        </w:rPr>
        <w:t>verificação de sua correção.</w:t>
      </w:r>
    </w:p>
    <w:p w:rsidR="00FE437D" w:rsidRPr="000359FE" w:rsidRDefault="00FE437D" w:rsidP="000359FE">
      <w:pPr>
        <w:spacing w:before="0" w:after="0" w:line="240" w:lineRule="auto"/>
        <w:ind w:left="2268" w:firstLine="0"/>
        <w:rPr>
          <w:sz w:val="22"/>
          <w:szCs w:val="22"/>
        </w:rPr>
      </w:pPr>
      <w:r w:rsidRPr="000359FE">
        <w:rPr>
          <w:sz w:val="22"/>
          <w:szCs w:val="22"/>
        </w:rPr>
        <w:t>1.4. Deverá a Concessionária, concomitantemente ao encaminhamento dos cálculos</w:t>
      </w:r>
      <w:r w:rsidR="004035FC" w:rsidRPr="000359FE">
        <w:rPr>
          <w:sz w:val="22"/>
          <w:szCs w:val="22"/>
        </w:rPr>
        <w:t xml:space="preserve"> </w:t>
      </w:r>
      <w:r w:rsidRPr="000359FE">
        <w:rPr>
          <w:sz w:val="22"/>
          <w:szCs w:val="22"/>
        </w:rPr>
        <w:t>ao Poder Concedente,</w:t>
      </w:r>
      <w:r w:rsidR="004035FC" w:rsidRPr="000359FE">
        <w:rPr>
          <w:sz w:val="22"/>
          <w:szCs w:val="22"/>
        </w:rPr>
        <w:t xml:space="preserve"> ou à Agência Reguladora (se ex</w:t>
      </w:r>
      <w:r w:rsidRPr="000359FE">
        <w:rPr>
          <w:sz w:val="22"/>
          <w:szCs w:val="22"/>
        </w:rPr>
        <w:t>istente), dar ampla divulgação</w:t>
      </w:r>
      <w:r w:rsidR="004035FC" w:rsidRPr="000359FE">
        <w:rPr>
          <w:sz w:val="22"/>
          <w:szCs w:val="22"/>
        </w:rPr>
        <w:t xml:space="preserve"> </w:t>
      </w:r>
      <w:r w:rsidRPr="000359FE">
        <w:rPr>
          <w:sz w:val="22"/>
          <w:szCs w:val="22"/>
        </w:rPr>
        <w:t>para a sociedade da nova tarifa reajustada, devendo as tarifas ser tornadas públicas</w:t>
      </w:r>
      <w:r w:rsidR="004035FC" w:rsidRPr="000359FE">
        <w:rPr>
          <w:sz w:val="22"/>
          <w:szCs w:val="22"/>
        </w:rPr>
        <w:t xml:space="preserve"> </w:t>
      </w:r>
      <w:r w:rsidRPr="000359FE">
        <w:rPr>
          <w:sz w:val="22"/>
          <w:szCs w:val="22"/>
        </w:rPr>
        <w:t>com a antecedência mínima legalmente prevista.</w:t>
      </w:r>
    </w:p>
    <w:p w:rsidR="00FE437D" w:rsidRPr="000359FE" w:rsidRDefault="00FE437D" w:rsidP="000359FE">
      <w:pPr>
        <w:spacing w:before="0" w:after="0" w:line="240" w:lineRule="auto"/>
        <w:ind w:left="2268" w:firstLine="0"/>
        <w:rPr>
          <w:sz w:val="22"/>
          <w:szCs w:val="22"/>
        </w:rPr>
      </w:pPr>
      <w:r w:rsidRPr="000359FE">
        <w:rPr>
          <w:sz w:val="22"/>
          <w:szCs w:val="22"/>
        </w:rPr>
        <w:t>1.5. O Poder Concedente ou Agência Reguladora, caso existente, deverá se</w:t>
      </w:r>
      <w:r w:rsidR="004035FC" w:rsidRPr="000359FE">
        <w:rPr>
          <w:sz w:val="22"/>
          <w:szCs w:val="22"/>
        </w:rPr>
        <w:t xml:space="preserve"> </w:t>
      </w:r>
      <w:r w:rsidRPr="000359FE">
        <w:rPr>
          <w:sz w:val="22"/>
          <w:szCs w:val="22"/>
        </w:rPr>
        <w:t>manifestar a respeito da exatidão da nova tarifa de corrente do reajuste tarifário no</w:t>
      </w:r>
      <w:r w:rsidR="004035FC" w:rsidRPr="000359FE">
        <w:rPr>
          <w:sz w:val="22"/>
          <w:szCs w:val="22"/>
        </w:rPr>
        <w:t xml:space="preserve"> </w:t>
      </w:r>
      <w:r w:rsidRPr="000359FE">
        <w:rPr>
          <w:sz w:val="22"/>
          <w:szCs w:val="22"/>
        </w:rPr>
        <w:t>prazo de 10 (dez) dias úteis contados da apresentação do cálculo pela Concessionária</w:t>
      </w:r>
      <w:r w:rsidR="004035FC" w:rsidRPr="000359FE">
        <w:rPr>
          <w:sz w:val="22"/>
          <w:szCs w:val="22"/>
        </w:rPr>
        <w:t xml:space="preserve"> </w:t>
      </w:r>
      <w:r w:rsidRPr="000359FE">
        <w:rPr>
          <w:sz w:val="22"/>
          <w:szCs w:val="22"/>
        </w:rPr>
        <w:t>e, se correto, homologar o reajuste.</w:t>
      </w:r>
    </w:p>
    <w:p w:rsidR="00FE437D" w:rsidRPr="000359FE" w:rsidRDefault="00FE437D" w:rsidP="000359FE">
      <w:pPr>
        <w:spacing w:before="0" w:after="0" w:line="240" w:lineRule="auto"/>
        <w:ind w:left="2268" w:firstLine="0"/>
        <w:rPr>
          <w:sz w:val="22"/>
          <w:szCs w:val="22"/>
        </w:rPr>
      </w:pPr>
      <w:r w:rsidRPr="000359FE">
        <w:rPr>
          <w:sz w:val="22"/>
          <w:szCs w:val="22"/>
        </w:rPr>
        <w:lastRenderedPageBreak/>
        <w:t>1.6. Não havendo a h</w:t>
      </w:r>
      <w:r w:rsidR="004035FC" w:rsidRPr="000359FE">
        <w:rPr>
          <w:sz w:val="22"/>
          <w:szCs w:val="22"/>
        </w:rPr>
        <w:t>omologação dos cálculos apresen</w:t>
      </w:r>
      <w:r w:rsidRPr="000359FE">
        <w:rPr>
          <w:sz w:val="22"/>
          <w:szCs w:val="22"/>
        </w:rPr>
        <w:t>tados pela Concessionária,</w:t>
      </w:r>
      <w:r w:rsidR="004035FC" w:rsidRPr="000359FE">
        <w:rPr>
          <w:sz w:val="22"/>
          <w:szCs w:val="22"/>
        </w:rPr>
        <w:t xml:space="preserve"> </w:t>
      </w:r>
      <w:r w:rsidRPr="000359FE">
        <w:rPr>
          <w:sz w:val="22"/>
          <w:szCs w:val="22"/>
        </w:rPr>
        <w:t>compete ao Poder Con</w:t>
      </w:r>
      <w:r w:rsidR="004035FC" w:rsidRPr="000359FE">
        <w:rPr>
          <w:sz w:val="22"/>
          <w:szCs w:val="22"/>
        </w:rPr>
        <w:t>cedente ou a Agência Reguladora</w:t>
      </w:r>
      <w:r w:rsidRPr="000359FE">
        <w:rPr>
          <w:sz w:val="22"/>
          <w:szCs w:val="22"/>
        </w:rPr>
        <w:t>, caso existente, definir o</w:t>
      </w:r>
      <w:r w:rsidR="004035FC" w:rsidRPr="000359FE">
        <w:rPr>
          <w:sz w:val="22"/>
          <w:szCs w:val="22"/>
        </w:rPr>
        <w:t xml:space="preserve"> </w:t>
      </w:r>
      <w:r w:rsidRPr="000359FE">
        <w:rPr>
          <w:sz w:val="22"/>
          <w:szCs w:val="22"/>
        </w:rPr>
        <w:t>valor da nova tarifa (reajustada), observando-se o prazo legalmente previsto entre a</w:t>
      </w:r>
      <w:r w:rsidR="004035FC" w:rsidRPr="000359FE">
        <w:rPr>
          <w:sz w:val="22"/>
          <w:szCs w:val="22"/>
        </w:rPr>
        <w:t xml:space="preserve"> </w:t>
      </w:r>
      <w:r w:rsidRPr="000359FE">
        <w:rPr>
          <w:sz w:val="22"/>
          <w:szCs w:val="22"/>
        </w:rPr>
        <w:t>divulgação à socieda</w:t>
      </w:r>
      <w:r w:rsidR="004035FC" w:rsidRPr="000359FE">
        <w:rPr>
          <w:sz w:val="22"/>
          <w:szCs w:val="22"/>
        </w:rPr>
        <w:t>de e a sua respectiva aplicação</w:t>
      </w:r>
      <w:r w:rsidRPr="000359FE">
        <w:rPr>
          <w:sz w:val="22"/>
          <w:szCs w:val="22"/>
        </w:rPr>
        <w:t>.</w:t>
      </w:r>
    </w:p>
    <w:p w:rsidR="00FE437D" w:rsidRPr="000359FE" w:rsidRDefault="00FE437D" w:rsidP="000359FE">
      <w:pPr>
        <w:spacing w:before="0" w:after="0" w:line="240" w:lineRule="auto"/>
        <w:ind w:left="2268" w:firstLine="0"/>
        <w:rPr>
          <w:sz w:val="22"/>
          <w:szCs w:val="22"/>
        </w:rPr>
      </w:pPr>
      <w:r w:rsidRPr="000359FE">
        <w:rPr>
          <w:sz w:val="22"/>
          <w:szCs w:val="22"/>
        </w:rPr>
        <w:t>1.7. A Revisão Tarifária, detalhada em capítulo específico deste Anexo, ocorrerá a</w:t>
      </w:r>
      <w:r w:rsidR="004035FC" w:rsidRPr="000359FE">
        <w:rPr>
          <w:sz w:val="22"/>
          <w:szCs w:val="22"/>
        </w:rPr>
        <w:t xml:space="preserve"> </w:t>
      </w:r>
      <w:r w:rsidRPr="000359FE">
        <w:rPr>
          <w:sz w:val="22"/>
          <w:szCs w:val="22"/>
        </w:rPr>
        <w:t>cada 3 (três) anos, sendo que em ano de revisão tarifária não haverá reajuste.</w:t>
      </w:r>
    </w:p>
    <w:p w:rsidR="00F3724E" w:rsidRPr="000359FE" w:rsidRDefault="00FE437D" w:rsidP="000359FE">
      <w:pPr>
        <w:spacing w:before="0" w:after="0" w:line="240" w:lineRule="auto"/>
        <w:ind w:left="2268" w:firstLine="0"/>
        <w:rPr>
          <w:sz w:val="22"/>
          <w:szCs w:val="22"/>
        </w:rPr>
      </w:pPr>
      <w:r w:rsidRPr="000359FE">
        <w:rPr>
          <w:sz w:val="22"/>
          <w:szCs w:val="22"/>
        </w:rPr>
        <w:t>1.8. O processo de reajuste tarifário é mais si</w:t>
      </w:r>
      <w:r w:rsidR="004035FC" w:rsidRPr="000359FE">
        <w:rPr>
          <w:sz w:val="22"/>
          <w:szCs w:val="22"/>
        </w:rPr>
        <w:t xml:space="preserve">mplificado do que o processo de </w:t>
      </w:r>
      <w:r w:rsidRPr="000359FE">
        <w:rPr>
          <w:sz w:val="22"/>
          <w:szCs w:val="22"/>
        </w:rPr>
        <w:t>Revisão Tarifária, sendo necessário no reajuste apenas a aplicação da seguinte</w:t>
      </w:r>
      <w:r w:rsidR="004035FC" w:rsidRPr="000359FE">
        <w:rPr>
          <w:sz w:val="22"/>
          <w:szCs w:val="22"/>
        </w:rPr>
        <w:t xml:space="preserve"> </w:t>
      </w:r>
      <w:r w:rsidRPr="000359FE">
        <w:rPr>
          <w:sz w:val="22"/>
          <w:szCs w:val="22"/>
        </w:rPr>
        <w:t>formula paramétrica:</w:t>
      </w:r>
    </w:p>
    <w:p w:rsidR="004035FC" w:rsidRPr="000359FE" w:rsidRDefault="004035FC" w:rsidP="000359FE">
      <w:pPr>
        <w:spacing w:before="0" w:after="0" w:line="240" w:lineRule="auto"/>
        <w:ind w:left="2268" w:firstLine="0"/>
        <w:rPr>
          <w:sz w:val="20"/>
        </w:rPr>
      </w:pPr>
    </w:p>
    <w:p w:rsidR="00190279" w:rsidRPr="00F3724E" w:rsidRDefault="00F3724E" w:rsidP="000359FE">
      <w:pPr>
        <w:spacing w:line="240" w:lineRule="auto"/>
        <w:ind w:firstLine="0"/>
        <w:jc w:val="left"/>
      </w:pPr>
      <m:oMathPara>
        <m:oMath>
          <m:r>
            <m:rPr>
              <m:sty m:val="p"/>
            </m:rPr>
            <w:rPr>
              <w:rFonts w:ascii="Cambria Math" w:hAnsi="Cambria Math"/>
              <w:sz w:val="16"/>
            </w:rPr>
            <m:t>TDP=</m:t>
          </m:r>
          <m:f>
            <m:fPr>
              <m:ctrlPr>
                <w:rPr>
                  <w:rFonts w:ascii="Cambria Math" w:hAnsi="Cambria Math"/>
                  <w:sz w:val="16"/>
                </w:rPr>
              </m:ctrlPr>
            </m:fPr>
            <m:num>
              <m:r>
                <m:rPr>
                  <m:sty m:val="p"/>
                </m:rPr>
                <w:rPr>
                  <w:rFonts w:ascii="Cambria Math" w:hAnsi="Cambria Math"/>
                  <w:sz w:val="16"/>
                </w:rPr>
                <m:t>TDA×</m:t>
              </m:r>
              <m:d>
                <m:dPr>
                  <m:begChr m:val="{"/>
                  <m:endChr m:val="}"/>
                  <m:ctrlPr>
                    <w:rPr>
                      <w:rFonts w:ascii="Cambria Math" w:hAnsi="Cambria Math"/>
                      <w:sz w:val="16"/>
                    </w:rPr>
                  </m:ctrlPr>
                </m:dPr>
                <m:e>
                  <m:r>
                    <m:rPr>
                      <m:sty m:val="p"/>
                    </m:rPr>
                    <w:rPr>
                      <w:rFonts w:ascii="Cambria Math" w:hAnsi="Cambria Math"/>
                      <w:sz w:val="16"/>
                    </w:rPr>
                    <m:t>1+</m:t>
                  </m:r>
                  <m:d>
                    <m:dPr>
                      <m:begChr m:val="{"/>
                      <m:endChr m:val="}"/>
                      <m:ctrlPr>
                        <w:rPr>
                          <w:rFonts w:ascii="Cambria Math" w:hAnsi="Cambria Math"/>
                          <w:sz w:val="16"/>
                        </w:rPr>
                      </m:ctrlPr>
                    </m:dPr>
                    <m:e>
                      <m:d>
                        <m:dPr>
                          <m:begChr m:val="["/>
                          <m:endChr m:val="]"/>
                          <m:ctrlPr>
                            <w:rPr>
                              <w:rFonts w:ascii="Cambria Math" w:hAnsi="Cambria Math"/>
                              <w:sz w:val="16"/>
                            </w:rPr>
                          </m:ctrlPr>
                        </m:dPr>
                        <m:e>
                          <m:r>
                            <m:rPr>
                              <m:sty m:val="p"/>
                            </m:rPr>
                            <w:rPr>
                              <w:rFonts w:ascii="Cambria Math" w:hAnsi="Cambria Math"/>
                              <w:sz w:val="16"/>
                            </w:rPr>
                            <m:t>1+</m:t>
                          </m:r>
                          <m:d>
                            <m:dPr>
                              <m:ctrlPr>
                                <w:rPr>
                                  <w:rFonts w:ascii="Cambria Math" w:hAnsi="Cambria Math"/>
                                  <w:sz w:val="16"/>
                                </w:rPr>
                              </m:ctrlPr>
                            </m:dPr>
                            <m:e>
                              <m:f>
                                <m:fPr>
                                  <m:ctrlPr>
                                    <w:rPr>
                                      <w:rFonts w:ascii="Cambria Math" w:hAnsi="Cambria Math"/>
                                      <w:sz w:val="16"/>
                                    </w:rPr>
                                  </m:ctrlPr>
                                </m:fPr>
                                <m:num>
                                  <m:r>
                                    <m:rPr>
                                      <m:sty m:val="p"/>
                                    </m:rPr>
                                    <w:rPr>
                                      <w:rFonts w:ascii="Cambria Math" w:hAnsi="Cambria Math"/>
                                      <w:sz w:val="16"/>
                                    </w:rPr>
                                    <m:t>PCP-PCA</m:t>
                                  </m:r>
                                </m:num>
                                <m:den>
                                  <m:r>
                                    <m:rPr>
                                      <m:sty m:val="p"/>
                                    </m:rPr>
                                    <w:rPr>
                                      <w:rFonts w:ascii="Cambria Math" w:hAnsi="Cambria Math"/>
                                      <w:sz w:val="16"/>
                                    </w:rPr>
                                    <m:t>PCA</m:t>
                                  </m:r>
                                </m:den>
                              </m:f>
                            </m:e>
                          </m:d>
                          <m:r>
                            <m:rPr>
                              <m:sty m:val="p"/>
                            </m:rPr>
                            <w:rPr>
                              <w:rFonts w:ascii="Cambria Math" w:hAnsi="Cambria Math"/>
                              <w:sz w:val="16"/>
                            </w:rPr>
                            <m:t>×20,98%</m:t>
                          </m:r>
                        </m:e>
                      </m:d>
                      <m:r>
                        <m:rPr>
                          <m:sty m:val="p"/>
                        </m:rPr>
                        <w:rPr>
                          <w:rFonts w:ascii="Cambria Math" w:hAnsi="Cambria Math"/>
                          <w:sz w:val="16"/>
                        </w:rPr>
                        <m:t>+</m:t>
                      </m:r>
                      <m:d>
                        <m:dPr>
                          <m:begChr m:val="["/>
                          <m:endChr m:val="]"/>
                          <m:ctrlPr>
                            <w:rPr>
                              <w:rFonts w:ascii="Cambria Math" w:hAnsi="Cambria Math"/>
                              <w:sz w:val="16"/>
                            </w:rPr>
                          </m:ctrlPr>
                        </m:dPr>
                        <m:e>
                          <m:r>
                            <m:rPr>
                              <m:sty m:val="p"/>
                            </m:rPr>
                            <w:rPr>
                              <w:rFonts w:ascii="Cambria Math" w:hAnsi="Cambria Math"/>
                              <w:sz w:val="16"/>
                            </w:rPr>
                            <m:t>1+</m:t>
                          </m:r>
                          <m:d>
                            <m:dPr>
                              <m:ctrlPr>
                                <w:rPr>
                                  <w:rFonts w:ascii="Cambria Math" w:hAnsi="Cambria Math"/>
                                  <w:sz w:val="16"/>
                                </w:rPr>
                              </m:ctrlPr>
                            </m:dPr>
                            <m:e>
                              <m:f>
                                <m:fPr>
                                  <m:ctrlPr>
                                    <w:rPr>
                                      <w:rFonts w:ascii="Cambria Math" w:hAnsi="Cambria Math"/>
                                      <w:sz w:val="16"/>
                                    </w:rPr>
                                  </m:ctrlPr>
                                </m:fPr>
                                <m:num>
                                  <m:r>
                                    <m:rPr>
                                      <m:sty m:val="p"/>
                                    </m:rPr>
                                    <w:rPr>
                                      <w:rFonts w:ascii="Cambria Math" w:hAnsi="Cambria Math"/>
                                      <w:sz w:val="16"/>
                                    </w:rPr>
                                    <m:t>SMP-SmA</m:t>
                                  </m:r>
                                </m:num>
                                <m:den>
                                  <m:r>
                                    <m:rPr>
                                      <m:sty m:val="p"/>
                                    </m:rPr>
                                    <w:rPr>
                                      <w:rFonts w:ascii="Cambria Math" w:hAnsi="Cambria Math"/>
                                      <w:sz w:val="16"/>
                                    </w:rPr>
                                    <m:t>SMA</m:t>
                                  </m:r>
                                </m:den>
                              </m:f>
                            </m:e>
                          </m:d>
                          <m:r>
                            <m:rPr>
                              <m:sty m:val="p"/>
                            </m:rPr>
                            <w:rPr>
                              <w:rFonts w:ascii="Cambria Math" w:hAnsi="Cambria Math"/>
                              <w:sz w:val="16"/>
                            </w:rPr>
                            <m:t>×65,17%</m:t>
                          </m:r>
                        </m:e>
                      </m:d>
                      <m:r>
                        <m:rPr>
                          <m:sty m:val="p"/>
                        </m:rPr>
                        <w:rPr>
                          <w:rFonts w:ascii="Cambria Math" w:hAnsi="Cambria Math"/>
                          <w:sz w:val="16"/>
                        </w:rPr>
                        <m:t>+</m:t>
                      </m:r>
                      <m:d>
                        <m:dPr>
                          <m:begChr m:val="["/>
                          <m:endChr m:val="]"/>
                          <m:ctrlPr>
                            <w:rPr>
                              <w:rFonts w:ascii="Cambria Math" w:hAnsi="Cambria Math"/>
                              <w:sz w:val="16"/>
                            </w:rPr>
                          </m:ctrlPr>
                        </m:dPr>
                        <m:e>
                          <m:r>
                            <m:rPr>
                              <m:sty m:val="p"/>
                            </m:rPr>
                            <w:rPr>
                              <w:rFonts w:ascii="Cambria Math" w:hAnsi="Cambria Math"/>
                              <w:sz w:val="16"/>
                            </w:rPr>
                            <m:t>1+</m:t>
                          </m:r>
                          <m:d>
                            <m:dPr>
                              <m:ctrlPr>
                                <w:rPr>
                                  <w:rFonts w:ascii="Cambria Math" w:hAnsi="Cambria Math"/>
                                  <w:sz w:val="16"/>
                                </w:rPr>
                              </m:ctrlPr>
                            </m:dPr>
                            <m:e>
                              <m:f>
                                <m:fPr>
                                  <m:ctrlPr>
                                    <w:rPr>
                                      <w:rFonts w:ascii="Cambria Math" w:hAnsi="Cambria Math"/>
                                      <w:sz w:val="16"/>
                                    </w:rPr>
                                  </m:ctrlPr>
                                </m:fPr>
                                <m:num>
                                  <m:r>
                                    <m:rPr>
                                      <m:sty m:val="p"/>
                                    </m:rPr>
                                    <w:rPr>
                                      <w:rFonts w:ascii="Cambria Math" w:hAnsi="Cambria Math"/>
                                      <w:sz w:val="16"/>
                                    </w:rPr>
                                    <m:t>IVP-IVA</m:t>
                                  </m:r>
                                </m:num>
                                <m:den>
                                  <m:r>
                                    <m:rPr>
                                      <m:sty m:val="p"/>
                                    </m:rPr>
                                    <w:rPr>
                                      <w:rFonts w:ascii="Cambria Math" w:hAnsi="Cambria Math"/>
                                      <w:sz w:val="16"/>
                                    </w:rPr>
                                    <m:t>IVA</m:t>
                                  </m:r>
                                </m:den>
                              </m:f>
                            </m:e>
                          </m:d>
                          <m:r>
                            <m:rPr>
                              <m:sty m:val="p"/>
                            </m:rPr>
                            <w:rPr>
                              <w:rFonts w:ascii="Cambria Math" w:hAnsi="Cambria Math"/>
                              <w:sz w:val="16"/>
                            </w:rPr>
                            <m:t>×13,85%</m:t>
                          </m:r>
                        </m:e>
                      </m:d>
                    </m:e>
                  </m:d>
                </m:e>
              </m:d>
            </m:num>
            <m:den>
              <m:d>
                <m:dPr>
                  <m:ctrlPr>
                    <w:rPr>
                      <w:rFonts w:ascii="Cambria Math" w:hAnsi="Cambria Math"/>
                      <w:sz w:val="16"/>
                    </w:rPr>
                  </m:ctrlPr>
                </m:dPr>
                <m:e>
                  <m:r>
                    <m:rPr>
                      <m:sty m:val="p"/>
                    </m:rPr>
                    <w:rPr>
                      <w:rFonts w:ascii="Cambria Math" w:hAnsi="Cambria Math"/>
                      <w:sz w:val="16"/>
                    </w:rPr>
                    <m:t>1+</m:t>
                  </m:r>
                  <m:d>
                    <m:dPr>
                      <m:ctrlPr>
                        <w:rPr>
                          <w:rFonts w:ascii="Cambria Math" w:hAnsi="Cambria Math"/>
                          <w:sz w:val="16"/>
                        </w:rPr>
                      </m:ctrlPr>
                    </m:dPr>
                    <m:e>
                      <m:f>
                        <m:fPr>
                          <m:ctrlPr>
                            <w:rPr>
                              <w:rFonts w:ascii="Cambria Math" w:hAnsi="Cambria Math"/>
                              <w:sz w:val="16"/>
                            </w:rPr>
                          </m:ctrlPr>
                        </m:fPr>
                        <m:num>
                          <m:r>
                            <m:rPr>
                              <m:sty m:val="p"/>
                            </m:rPr>
                            <w:rPr>
                              <w:rFonts w:ascii="Cambria Math" w:hAnsi="Cambria Math"/>
                              <w:sz w:val="16"/>
                            </w:rPr>
                            <m:t>IPKeP-IPKeA</m:t>
                          </m:r>
                        </m:num>
                        <m:den>
                          <m:r>
                            <m:rPr>
                              <m:sty m:val="p"/>
                            </m:rPr>
                            <w:rPr>
                              <w:rFonts w:ascii="Cambria Math" w:hAnsi="Cambria Math"/>
                              <w:sz w:val="16"/>
                            </w:rPr>
                            <m:t>IPKeA</m:t>
                          </m:r>
                        </m:den>
                      </m:f>
                    </m:e>
                  </m:d>
                </m:e>
              </m:d>
            </m:den>
          </m:f>
        </m:oMath>
      </m:oMathPara>
    </w:p>
    <w:p w:rsidR="004035FC" w:rsidRPr="000359FE" w:rsidRDefault="004035FC" w:rsidP="00153DBA">
      <w:pPr>
        <w:spacing w:before="0" w:after="0" w:line="240" w:lineRule="auto"/>
        <w:ind w:left="2268" w:firstLine="0"/>
        <w:rPr>
          <w:sz w:val="22"/>
          <w:szCs w:val="22"/>
        </w:rPr>
      </w:pPr>
      <w:r w:rsidRPr="000359FE">
        <w:rPr>
          <w:sz w:val="22"/>
          <w:szCs w:val="22"/>
        </w:rPr>
        <w:t>Onde:</w:t>
      </w:r>
    </w:p>
    <w:p w:rsidR="004035FC" w:rsidRPr="000359FE" w:rsidRDefault="004035FC" w:rsidP="00153DBA">
      <w:pPr>
        <w:spacing w:before="0" w:after="0" w:line="240" w:lineRule="auto"/>
        <w:ind w:left="2268" w:firstLine="0"/>
        <w:rPr>
          <w:sz w:val="22"/>
          <w:szCs w:val="22"/>
        </w:rPr>
      </w:pPr>
      <w:r w:rsidRPr="000359FE">
        <w:rPr>
          <w:sz w:val="22"/>
          <w:szCs w:val="22"/>
        </w:rPr>
        <w:t>TDP = Tarifa na Data Posterior (resultado do reajuste).</w:t>
      </w:r>
    </w:p>
    <w:p w:rsidR="004035FC" w:rsidRPr="000359FE" w:rsidRDefault="004035FC" w:rsidP="000359FE">
      <w:pPr>
        <w:spacing w:before="0" w:after="0" w:line="240" w:lineRule="auto"/>
        <w:ind w:left="2268" w:firstLine="0"/>
        <w:rPr>
          <w:sz w:val="22"/>
          <w:szCs w:val="22"/>
        </w:rPr>
      </w:pPr>
      <w:r w:rsidRPr="000359FE">
        <w:rPr>
          <w:sz w:val="22"/>
          <w:szCs w:val="22"/>
        </w:rPr>
        <w:t>TDA = Tarifa na Data Anterior (tarifa vigente até o reajuste).</w:t>
      </w:r>
    </w:p>
    <w:p w:rsidR="004035FC" w:rsidRPr="000359FE" w:rsidRDefault="004035FC" w:rsidP="000359FE">
      <w:pPr>
        <w:spacing w:before="0" w:after="0" w:line="240" w:lineRule="auto"/>
        <w:ind w:left="2268" w:firstLine="0"/>
        <w:rPr>
          <w:sz w:val="22"/>
          <w:szCs w:val="22"/>
        </w:rPr>
      </w:pPr>
      <w:r w:rsidRPr="000359FE">
        <w:rPr>
          <w:sz w:val="22"/>
          <w:szCs w:val="22"/>
        </w:rPr>
        <w:t>PCA = Preço do Combustível na data Anterior (Fonte: ANP Blumenau / Diesel S10 Média do Grande Distribuidor).</w:t>
      </w:r>
    </w:p>
    <w:p w:rsidR="004035FC" w:rsidRPr="000359FE" w:rsidRDefault="004035FC" w:rsidP="000359FE">
      <w:pPr>
        <w:spacing w:before="0" w:after="0" w:line="240" w:lineRule="auto"/>
        <w:ind w:left="2268" w:firstLine="0"/>
        <w:rPr>
          <w:sz w:val="22"/>
          <w:szCs w:val="22"/>
        </w:rPr>
      </w:pPr>
      <w:r w:rsidRPr="000359FE">
        <w:rPr>
          <w:sz w:val="22"/>
          <w:szCs w:val="22"/>
        </w:rPr>
        <w:t>PCP = Preço do Combustível na data Posterior (Fonte: ANP Blumenau / Diesel S10 Média do Grande Distribuidor).</w:t>
      </w:r>
    </w:p>
    <w:p w:rsidR="004035FC" w:rsidRPr="000359FE" w:rsidRDefault="004035FC" w:rsidP="000359FE">
      <w:pPr>
        <w:spacing w:before="0" w:after="0" w:line="240" w:lineRule="auto"/>
        <w:ind w:left="2268" w:firstLine="0"/>
        <w:rPr>
          <w:sz w:val="22"/>
          <w:szCs w:val="22"/>
        </w:rPr>
      </w:pPr>
      <w:r w:rsidRPr="000359FE">
        <w:rPr>
          <w:sz w:val="22"/>
          <w:szCs w:val="22"/>
        </w:rPr>
        <w:t>SMA = salário do motorista anterior (convenção coletiva) na data Anterior.</w:t>
      </w:r>
    </w:p>
    <w:p w:rsidR="004035FC" w:rsidRPr="000359FE" w:rsidRDefault="004035FC" w:rsidP="000359FE">
      <w:pPr>
        <w:spacing w:before="0" w:after="0" w:line="240" w:lineRule="auto"/>
        <w:ind w:left="2268" w:firstLine="0"/>
        <w:rPr>
          <w:sz w:val="22"/>
          <w:szCs w:val="22"/>
        </w:rPr>
      </w:pPr>
      <w:r w:rsidRPr="000359FE">
        <w:rPr>
          <w:sz w:val="22"/>
          <w:szCs w:val="22"/>
        </w:rPr>
        <w:t>SMP = salário do motorista posterior (convenção coletiva).</w:t>
      </w:r>
    </w:p>
    <w:p w:rsidR="004035FC" w:rsidRPr="000359FE" w:rsidRDefault="004035FC" w:rsidP="000359FE">
      <w:pPr>
        <w:spacing w:before="0" w:after="0" w:line="240" w:lineRule="auto"/>
        <w:ind w:left="2268" w:firstLine="0"/>
        <w:rPr>
          <w:sz w:val="22"/>
          <w:szCs w:val="22"/>
        </w:rPr>
      </w:pPr>
      <w:r w:rsidRPr="000359FE">
        <w:rPr>
          <w:sz w:val="22"/>
          <w:szCs w:val="22"/>
        </w:rPr>
        <w:t>IVA = Índice de Veículos Automotores, Reboques, Carrocerias e Autopeças, calculado pela Fundação Getúlio Vargas – FGV (coluna 36) do Índice de Preços ao Produtor Amplo –Origem (IPA-OG) – Brasil, na data Anterior.</w:t>
      </w:r>
    </w:p>
    <w:p w:rsidR="004035FC" w:rsidRPr="000359FE" w:rsidRDefault="004035FC" w:rsidP="000359FE">
      <w:pPr>
        <w:spacing w:before="0" w:after="0" w:line="240" w:lineRule="auto"/>
        <w:ind w:left="2268" w:firstLine="0"/>
        <w:rPr>
          <w:sz w:val="22"/>
          <w:szCs w:val="22"/>
        </w:rPr>
      </w:pPr>
      <w:r w:rsidRPr="000359FE">
        <w:rPr>
          <w:sz w:val="22"/>
          <w:szCs w:val="22"/>
        </w:rPr>
        <w:t>IVP = Índice de Veículos Automotores, Reboques, Carrocerias e Autopeças, calculado pela Fundação Getúlio Vargas – FGV (coluna 36) do Índice de Preços ao Produtor Amplo –Origem (IPA-OG) – Brasil, na data Posterior.</w:t>
      </w:r>
    </w:p>
    <w:p w:rsidR="004035FC" w:rsidRPr="000359FE" w:rsidRDefault="004035FC" w:rsidP="000359FE">
      <w:pPr>
        <w:spacing w:before="0" w:after="0" w:line="240" w:lineRule="auto"/>
        <w:ind w:left="2268" w:firstLine="0"/>
        <w:rPr>
          <w:sz w:val="22"/>
          <w:szCs w:val="22"/>
        </w:rPr>
      </w:pPr>
      <w:r w:rsidRPr="000359FE">
        <w:rPr>
          <w:sz w:val="22"/>
          <w:szCs w:val="22"/>
        </w:rPr>
        <w:t>IPKeA = Índice de Passageiro por quilômetro equivalente Anterior (efetivamente apurado nos 12 meses anteriores ao reajuste anterior – ou seja do mês “-24” ao mês “-13”, sendo o mês do reajuste considerado o mês “zero”), sendo que no caso do 1º reajuste refere-se ao IPK “teórico” do 1º ano de operação.</w:t>
      </w:r>
    </w:p>
    <w:p w:rsidR="004035FC" w:rsidRPr="000359FE" w:rsidRDefault="004035FC" w:rsidP="000359FE">
      <w:pPr>
        <w:spacing w:before="0" w:after="0" w:line="240" w:lineRule="auto"/>
        <w:ind w:left="2268" w:firstLine="0"/>
        <w:rPr>
          <w:sz w:val="22"/>
          <w:szCs w:val="22"/>
        </w:rPr>
      </w:pPr>
      <w:r w:rsidRPr="000359FE">
        <w:rPr>
          <w:sz w:val="22"/>
          <w:szCs w:val="22"/>
        </w:rPr>
        <w:t>IPKeP = Índice de Passageiro por quilômetro equivalente Posterior (efetivamente apurado nos 12 meses anteriores ao reajuste atual – ou seja do mês “-12” ao mês “-1”, sendo o mês do reajuste considerado o mês “zero”).</w:t>
      </w:r>
    </w:p>
    <w:p w:rsidR="004035FC" w:rsidRDefault="004035FC" w:rsidP="00153DBA">
      <w:pPr>
        <w:spacing w:before="0" w:after="0"/>
        <w:ind w:firstLine="851"/>
      </w:pPr>
    </w:p>
    <w:p w:rsidR="004035FC" w:rsidRDefault="004035FC" w:rsidP="00F3724E">
      <w:pPr>
        <w:spacing w:before="0" w:after="0"/>
        <w:ind w:firstLine="851"/>
      </w:pPr>
      <w:r>
        <w:t>No item 1.9 Fica definida a data de 1º de dezembro para todos os eventos tarifários ordinários (reajuste e revisão).</w:t>
      </w:r>
      <w:r w:rsidR="00F3724E">
        <w:t xml:space="preserve"> </w:t>
      </w:r>
      <w:r>
        <w:t>Para além destas definições, o Edital traz regras para o primeiro reajuste</w:t>
      </w:r>
      <w:r w:rsidR="005066F5">
        <w:t xml:space="preserve"> no Anexo V</w:t>
      </w:r>
      <w:r>
        <w:t>, onde:</w:t>
      </w:r>
    </w:p>
    <w:p w:rsidR="00F3724E" w:rsidRDefault="00F3724E" w:rsidP="00153DBA">
      <w:pPr>
        <w:spacing w:before="0" w:after="0"/>
        <w:ind w:firstLine="851"/>
      </w:pPr>
    </w:p>
    <w:p w:rsidR="004035FC" w:rsidRPr="000359FE" w:rsidRDefault="004035FC" w:rsidP="00153DBA">
      <w:pPr>
        <w:spacing w:before="0" w:after="0" w:line="240" w:lineRule="auto"/>
        <w:ind w:left="2268" w:firstLine="0"/>
        <w:rPr>
          <w:b/>
          <w:sz w:val="22"/>
          <w:szCs w:val="22"/>
        </w:rPr>
      </w:pPr>
      <w:r w:rsidRPr="000359FE">
        <w:rPr>
          <w:b/>
          <w:sz w:val="22"/>
          <w:szCs w:val="22"/>
        </w:rPr>
        <w:lastRenderedPageBreak/>
        <w:t>1º Reajuste Tarifário</w:t>
      </w:r>
    </w:p>
    <w:p w:rsidR="004035FC" w:rsidRPr="000359FE" w:rsidRDefault="004035FC" w:rsidP="000359FE">
      <w:pPr>
        <w:spacing w:before="0" w:after="0" w:line="240" w:lineRule="auto"/>
        <w:ind w:left="2268" w:firstLine="0"/>
        <w:rPr>
          <w:sz w:val="22"/>
          <w:szCs w:val="22"/>
        </w:rPr>
      </w:pPr>
      <w:r w:rsidRPr="000359FE">
        <w:rPr>
          <w:sz w:val="22"/>
          <w:szCs w:val="22"/>
        </w:rPr>
        <w:t>1.10. O primeiro reajuste tarifário da nova concessão será realizado dia primeiro de dezembro de 2017, com base na tarifa ofertada pelo vencedor (referência primeiro de dezembro de 2016). Caso o início da operação ocorra antes de dezembro de 2017, o IPKeP da fórmula anterior deverá ser calculado valendo-se dos meses de operação efetiva, proporcionalizados de acordo com a participação desses meses na demanda anual, conforme tabela abaixo - que contém os dados históricos da demanda de passageiros mensal:</w:t>
      </w:r>
    </w:p>
    <w:p w:rsidR="004035FC" w:rsidRPr="000359FE" w:rsidRDefault="004035FC" w:rsidP="000359FE">
      <w:pPr>
        <w:spacing w:before="0" w:after="0" w:line="240" w:lineRule="auto"/>
        <w:ind w:left="2268" w:firstLine="0"/>
        <w:jc w:val="center"/>
        <w:rPr>
          <w:sz w:val="22"/>
          <w:szCs w:val="22"/>
        </w:rPr>
      </w:pPr>
      <w:r w:rsidRPr="000359FE">
        <w:rPr>
          <w:noProof/>
          <w:sz w:val="22"/>
          <w:szCs w:val="22"/>
        </w:rPr>
        <w:drawing>
          <wp:inline distT="0" distB="0" distL="0" distR="0">
            <wp:extent cx="1441824" cy="2160000"/>
            <wp:effectExtent l="0" t="0" r="635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441824" cy="2160000"/>
                    </a:xfrm>
                    <a:prstGeom prst="rect">
                      <a:avLst/>
                    </a:prstGeom>
                  </pic:spPr>
                </pic:pic>
              </a:graphicData>
            </a:graphic>
          </wp:inline>
        </w:drawing>
      </w:r>
    </w:p>
    <w:p w:rsidR="005066F5" w:rsidRPr="000359FE" w:rsidRDefault="005066F5" w:rsidP="00153DBA">
      <w:pPr>
        <w:spacing w:before="0" w:after="0" w:line="240" w:lineRule="auto"/>
        <w:ind w:left="2268" w:firstLine="0"/>
        <w:rPr>
          <w:sz w:val="22"/>
          <w:szCs w:val="22"/>
        </w:rPr>
      </w:pPr>
      <w:r w:rsidRPr="000359FE">
        <w:rPr>
          <w:sz w:val="22"/>
          <w:szCs w:val="22"/>
        </w:rPr>
        <w:t>1.11. Desta forma, no caso de se iniciar a operação da Concessionária antes do dezembro de 2017, a quantidade de passageiros apurada até o reajuste será dividida pelo somatório da participação dos meses, conforme tabela anterior. Exemplo: caso a entrada em operação ocorra em outubro de 2017, será dividida a quantidade de passageiros (utilizada para cálculo do IPKeP) pelo somatório da participação da demanda efetiva dos meses de outubro (9,51%) e novembro (7,87%), ou seja, (17,48%).</w:t>
      </w:r>
    </w:p>
    <w:p w:rsidR="005066F5" w:rsidRPr="000359FE" w:rsidRDefault="005066F5" w:rsidP="00153DBA">
      <w:pPr>
        <w:spacing w:before="0" w:after="0" w:line="240" w:lineRule="auto"/>
        <w:ind w:left="2268" w:firstLine="0"/>
        <w:rPr>
          <w:sz w:val="22"/>
          <w:szCs w:val="22"/>
        </w:rPr>
      </w:pPr>
      <w:r w:rsidRPr="000359FE">
        <w:rPr>
          <w:sz w:val="22"/>
          <w:szCs w:val="22"/>
        </w:rPr>
        <w:t>1.12. Caso o início da operação seja posterior ao mês de dezembro de 2017, o concessionário terá direito a um reajuste equivalente ao que teria direito em dezembro de 2017 já no início da operação. Neste caso, como não será possível a apuração da quantidade real de passageiros, mantém-se o denominador da fórmula igual a 1 (um).</w:t>
      </w:r>
    </w:p>
    <w:p w:rsidR="005066F5" w:rsidRPr="000359FE" w:rsidRDefault="005066F5" w:rsidP="000359FE">
      <w:pPr>
        <w:spacing w:before="0" w:after="0" w:line="240" w:lineRule="auto"/>
        <w:ind w:left="2268" w:firstLine="0"/>
        <w:rPr>
          <w:sz w:val="22"/>
          <w:szCs w:val="22"/>
        </w:rPr>
      </w:pPr>
      <w:r w:rsidRPr="000359FE">
        <w:rPr>
          <w:sz w:val="22"/>
          <w:szCs w:val="22"/>
        </w:rPr>
        <w:t>1.13. O IPKe referencial e de partida para fins de ajustes tarifários é de: 1,430.</w:t>
      </w:r>
    </w:p>
    <w:p w:rsidR="005066F5" w:rsidRDefault="005066F5" w:rsidP="00153DBA">
      <w:pPr>
        <w:spacing w:before="0" w:after="0"/>
        <w:ind w:firstLine="851"/>
      </w:pPr>
    </w:p>
    <w:p w:rsidR="002E701F" w:rsidRPr="002001B2" w:rsidRDefault="002E701F" w:rsidP="000359FE">
      <w:pPr>
        <w:spacing w:before="0" w:after="0"/>
        <w:ind w:firstLine="0"/>
        <w:rPr>
          <w:b/>
        </w:rPr>
      </w:pPr>
      <w:r w:rsidRPr="002001B2">
        <w:rPr>
          <w:b/>
        </w:rPr>
        <w:t>3.</w:t>
      </w:r>
      <w:r w:rsidR="008B392C" w:rsidRPr="002001B2">
        <w:rPr>
          <w:b/>
        </w:rPr>
        <w:t>1</w:t>
      </w:r>
      <w:r w:rsidRPr="002001B2">
        <w:rPr>
          <w:b/>
        </w:rPr>
        <w:t xml:space="preserve"> </w:t>
      </w:r>
      <w:r w:rsidRPr="002001B2">
        <w:rPr>
          <w:b/>
        </w:rPr>
        <w:tab/>
        <w:t>Observações sobre o Anexo V:</w:t>
      </w:r>
    </w:p>
    <w:p w:rsidR="005066F5" w:rsidRPr="002001B2" w:rsidRDefault="005066F5" w:rsidP="00153DBA">
      <w:pPr>
        <w:spacing w:before="0" w:after="0"/>
        <w:ind w:firstLine="851"/>
      </w:pPr>
    </w:p>
    <w:p w:rsidR="002001B2" w:rsidRDefault="002001B2" w:rsidP="002001B2">
      <w:pPr>
        <w:spacing w:before="0" w:after="0"/>
        <w:ind w:firstLine="851"/>
      </w:pPr>
      <w:r w:rsidRPr="000359FE">
        <w:t xml:space="preserve">O item 1.1, quando define o dia específico (1º de dezembro) para o processo de reajuste, não considerou algumas problemáticas em torno dos cálculos de reajuste que envolvem as publicações dos índices econômicos, do acordo coletivo com os funcionários, do preço do combustível, da prestação de contas operacionais e do processo de análise do pleito pelo Poder Concedente ou pela Agência Reguladora, neste caso. Sendo assim, destaca-se, o </w:t>
      </w:r>
      <w:r w:rsidRPr="000359FE">
        <w:lastRenderedPageBreak/>
        <w:t>curto tempo útil para coletar todas as informações, processar o cálculo do reajuste, submeter à análise e aprovação do Poder Concedente ou Agência Reguladora e ainda, considerando a publicação e divulgação com dez dias úteis de antecedência antes da entrada em vigor da tarifa reajustada.</w:t>
      </w:r>
    </w:p>
    <w:p w:rsidR="002001B2" w:rsidRDefault="00AD0970" w:rsidP="002001B2">
      <w:pPr>
        <w:spacing w:before="0" w:after="0"/>
        <w:ind w:firstLine="851"/>
        <w:rPr>
          <w:sz w:val="22"/>
          <w:szCs w:val="22"/>
        </w:rPr>
      </w:pPr>
      <w:r w:rsidRPr="002001B2">
        <w:t xml:space="preserve">O item 1.2 retrata a data base utilizada para cálculo do reajuste e sedimenta a data base do </w:t>
      </w:r>
      <w:r w:rsidR="002001B2">
        <w:t>C</w:t>
      </w:r>
      <w:r w:rsidRPr="002001B2">
        <w:t>ontrato como base para o primeiro</w:t>
      </w:r>
      <w:r>
        <w:t xml:space="preserve"> reajuste.</w:t>
      </w:r>
      <w:r w:rsidR="002001B2">
        <w:t xml:space="preserve"> </w:t>
      </w:r>
      <w:r>
        <w:t xml:space="preserve">Já </w:t>
      </w:r>
      <w:r w:rsidR="00A62C5D">
        <w:t>n</w:t>
      </w:r>
      <w:r>
        <w:t xml:space="preserve">o item 1.3 e 1.4 observa-se que é de competência </w:t>
      </w:r>
      <w:r w:rsidR="00A62C5D">
        <w:t>da</w:t>
      </w:r>
      <w:r>
        <w:t xml:space="preserve"> Concessionária apresentar os cálculos, observadas as regras previstas, bem como a afirmação que “</w:t>
      </w:r>
      <w:r w:rsidRPr="000359FE">
        <w:rPr>
          <w:i/>
        </w:rPr>
        <w:t>Deverá a Concessionária, concomitantemente ao encaminhamento dos cálculos ao Poder Concedente, ou à Agência Reguladora (se existente), dar ampla divulgação para a sociedade da nova tarifa reajustada, devendo as tarifas ser tornadas públicas com a antecedência mínima legalmente prevista</w:t>
      </w:r>
      <w:r>
        <w:rPr>
          <w:i/>
        </w:rPr>
        <w:t xml:space="preserve">”. </w:t>
      </w:r>
      <w:r w:rsidRPr="000359FE">
        <w:t>Esta</w:t>
      </w:r>
      <w:r>
        <w:t xml:space="preserve"> definição, ao ver desta Gerência, pode implicar em alguns pontos prejudiciais à execução do </w:t>
      </w:r>
      <w:r w:rsidR="002001B2">
        <w:t>C</w:t>
      </w:r>
      <w:r>
        <w:t>ontrato, pois coloca em risco a confiança do usuário quanto a possíveis divergências ocorridas entre o pedido apresentado e o reajuste real concedido após análise. Cabe a esta afirmação, se possível</w:t>
      </w:r>
      <w:r w:rsidR="00A62C5D">
        <w:t>,</w:t>
      </w:r>
      <w:r>
        <w:t xml:space="preserve"> </w:t>
      </w:r>
      <w:r w:rsidR="00A62C5D">
        <w:t>ser</w:t>
      </w:r>
      <w:r>
        <w:t xml:space="preserve"> altera</w:t>
      </w:r>
      <w:r w:rsidR="00A62C5D">
        <w:t>da</w:t>
      </w:r>
      <w:r>
        <w:t xml:space="preserve"> sua redação de forma que a publicação e divulgação dos índices de reajuste sejam repassados à população e aos usuários após </w:t>
      </w:r>
      <w:r w:rsidR="00A62C5D">
        <w:t xml:space="preserve">homologação, análise e deliberação </w:t>
      </w:r>
      <w:r>
        <w:t xml:space="preserve">da taxa de reajuste. </w:t>
      </w:r>
    </w:p>
    <w:p w:rsidR="002001B2" w:rsidRPr="000359FE" w:rsidRDefault="002001B2" w:rsidP="000359FE">
      <w:pPr>
        <w:spacing w:before="0" w:after="0"/>
        <w:ind w:firstLine="851"/>
      </w:pPr>
      <w:r w:rsidRPr="000359FE">
        <w:t xml:space="preserve">O item 1.5 traz o prazo de dez dias úteis para o Poder Concedente ou Agência de Regulação se manifestar a respeito do pleito da Concessionária. Primeiramente este item do Edital não prevê possibilidade de prolongamento do período de análise, o que pode prejudicar em alguns casos algumas análises. Em segundo lugar esse prazo adicionado ao prazo legal de publicação e divulgação da nova tarifa reajustada somam juntos vinte dias úteis, o que de maneira relacionada obriga a Concessionária a protocolar o pedido de reajuste ao menos vinte dias úteis antes do dia primeiro de dezembro (como definido no item 1.1). Esse curto espaço de tempo para todo este processo, ao considerar o período de divulgação da variação de preços dos itens definidos na equação de reajuste, que envolve a Fundação Getúlio Vargas – FGV, o preço do combustível publicado pela Agência Nacional do Petróleo – ANP e o dissídio coletivo que reajusta o salário dos motoristas, acaba por tornar bastante escasso o tempo para concluir o processo de reajuste tarifário. Para este item, sugere-se que sejam </w:t>
      </w:r>
      <w:r w:rsidRPr="000359FE">
        <w:lastRenderedPageBreak/>
        <w:t>observadas as datas e períodos de divulgação dos índices utilizados na equação paramétrica de reajuste para que possa ser proposto uma nova redação cabível e que atenda os prazos definidos.</w:t>
      </w:r>
      <w:r>
        <w:t xml:space="preserve"> </w:t>
      </w:r>
    </w:p>
    <w:p w:rsidR="002001B2" w:rsidRPr="000359FE" w:rsidRDefault="000150AC" w:rsidP="002001B2">
      <w:pPr>
        <w:spacing w:before="0" w:after="0"/>
        <w:ind w:firstLine="851"/>
      </w:pPr>
      <w:r w:rsidRPr="002001B2">
        <w:t>Sem mais considerações para os itens 1.6 e 1.7</w:t>
      </w:r>
      <w:r w:rsidR="00E013C7" w:rsidRPr="002001B2">
        <w:t>.</w:t>
      </w:r>
      <w:r w:rsidR="002001B2" w:rsidRPr="002001B2">
        <w:t xml:space="preserve"> </w:t>
      </w:r>
      <w:r w:rsidR="002001B2" w:rsidRPr="000359FE">
        <w:t xml:space="preserve">O item 1.8 traz na redação para definição das variáveis contidas na equação de reajuste, a regra para obter a variação de doze meses de cada componente da equação. Destaca-se que, em virtude dos prazos de divulgação de alguns índices utilizados neste cálculo, não será possível cumprir, na íntegra, os períodos definidos. Para tal seria necessário estender o prazo previsto de 1º de dezembro para reajustar a tarifa, de forma que dever-se-á observar a construção destes índices para que seja possível atender o período de doze meses para reajuste, o protocolo do pedido, a análise, a publicação, divulgação da nova tarifa e a efetiva alteração do preço da tarifa de transporte público coletivo. Destaca-se no item 1.9, novamente a definição da data de 1º de dezembro para todos os eventos de reajuste tarifário. Vide item 1.1. </w:t>
      </w:r>
    </w:p>
    <w:p w:rsidR="002001B2" w:rsidRPr="000359FE" w:rsidRDefault="002001B2" w:rsidP="000359FE">
      <w:pPr>
        <w:spacing w:before="0" w:after="0"/>
        <w:ind w:firstLine="851"/>
      </w:pPr>
      <w:r w:rsidRPr="000359FE">
        <w:t xml:space="preserve">O item 1.10 traz a definição para o cálculo do primeiro reajuste. No caso em questão, este ocorrerá, com efeito que, a Concessão iniciou antes de dezembro de 2017. Desta forma, o item 1.11 traz como proceder para determinar o IPKeP proporcional, de acordo com o período efetivo de operação do serviço. Neste item, ocorre uma indefinição que abre espaço para o debate, pois para calcular o IPKeP é necessário saber a quantidade de passageiro equivalente que utilizou o transporte público coletivo no período e a quilometragem percorrida pelos veículos, de maneira que este item define como proporcionalizar a quantidade de passageiro equivalente, mas não a quantidade de quilômetros percorridos, o que cria uma impossibilidade de calcular o IPKeP, esta indefinição pode não causar muitos problemas à Concessão, uma vez que só será aplicado ao primeiro reajuste, mas deve ser debatido pois abre margem para definição do IPKeP, pois possibilita outras formas de interpretação quanto a projeção da quilometragem percorrida. </w:t>
      </w:r>
    </w:p>
    <w:p w:rsidR="002001B2" w:rsidRPr="002001B2" w:rsidRDefault="002001B2" w:rsidP="000359FE">
      <w:pPr>
        <w:spacing w:before="0" w:after="0"/>
        <w:rPr>
          <w:i/>
        </w:rPr>
      </w:pPr>
      <w:r w:rsidRPr="000359FE">
        <w:t xml:space="preserve">Por fim, o item 1.13 traz em seu texto, o valor de referência do IPKeA com o número 1,430, este valor não confere com o valor de IPKeA contido no fluxo de caixa da Concessão e utilizado para calcular a tarifa de R$3,90 (tarifa atual). Na altura dos questionamentos referentes ao Edital, este ponto foi questionado pelos concorrentes, de forma que mesmo não </w:t>
      </w:r>
      <w:r w:rsidRPr="000359FE">
        <w:lastRenderedPageBreak/>
        <w:t>sendo alterado no texto na altura, deve-se considerar o valor de IPKeA de 1,477 conforme valor calculado e utilizado no Fluxo de Caixa.</w:t>
      </w:r>
      <w:r w:rsidRPr="002001B2">
        <w:rPr>
          <w:i/>
        </w:rPr>
        <w:t xml:space="preserve"> </w:t>
      </w:r>
    </w:p>
    <w:p w:rsidR="00D479FF" w:rsidRDefault="00D479FF" w:rsidP="00153DBA">
      <w:pPr>
        <w:spacing w:before="0" w:after="0"/>
        <w:ind w:firstLine="851"/>
      </w:pPr>
    </w:p>
    <w:p w:rsidR="002E701F" w:rsidRPr="000656FE" w:rsidRDefault="002E701F" w:rsidP="000359FE">
      <w:pPr>
        <w:spacing w:before="0" w:after="0"/>
        <w:rPr>
          <w:b/>
        </w:rPr>
      </w:pPr>
      <w:r w:rsidRPr="000656FE">
        <w:rPr>
          <w:b/>
        </w:rPr>
        <w:t>3.</w:t>
      </w:r>
      <w:r>
        <w:rPr>
          <w:b/>
        </w:rPr>
        <w:t>2</w:t>
      </w:r>
      <w:r w:rsidRPr="000656FE">
        <w:rPr>
          <w:b/>
        </w:rPr>
        <w:tab/>
      </w:r>
      <w:r>
        <w:rPr>
          <w:b/>
        </w:rPr>
        <w:t xml:space="preserve">Cálculo do IPKeP </w:t>
      </w:r>
      <w:r w:rsidR="00B155E7">
        <w:rPr>
          <w:b/>
        </w:rPr>
        <w:t>segundo o Edital</w:t>
      </w:r>
    </w:p>
    <w:p w:rsidR="002E701F" w:rsidRDefault="002E701F" w:rsidP="000359FE">
      <w:pPr>
        <w:spacing w:before="0" w:after="0"/>
        <w:ind w:firstLine="851"/>
      </w:pPr>
    </w:p>
    <w:p w:rsidR="00FD131B" w:rsidRDefault="00D25B62" w:rsidP="00FD131B">
      <w:pPr>
        <w:spacing w:before="0" w:after="0"/>
        <w:ind w:firstLine="851"/>
      </w:pPr>
      <w:r>
        <w:t xml:space="preserve">Assim como já citado, o Anexo V do Edital de Concessão contem regras para o primeiro reajuste. Entre essas regras, ficam estabelecidos os critérios a serem adotados para o cálculo. Um dos critérios a ser estabelecido é o </w:t>
      </w:r>
      <w:r w:rsidRPr="00D25B62">
        <w:t xml:space="preserve">Índice </w:t>
      </w:r>
      <w:r w:rsidR="00FD131B">
        <w:t>d</w:t>
      </w:r>
      <w:r w:rsidRPr="00D25B62">
        <w:t xml:space="preserve">e Passageiro </w:t>
      </w:r>
      <w:r>
        <w:t>p</w:t>
      </w:r>
      <w:r w:rsidRPr="00D25B62">
        <w:t xml:space="preserve">or Quilômetro </w:t>
      </w:r>
      <w:r w:rsidR="00FD131B">
        <w:t>E</w:t>
      </w:r>
      <w:r w:rsidRPr="00D25B62">
        <w:t>quivalente Posterior</w:t>
      </w:r>
      <w:r>
        <w:t xml:space="preserve"> – IPKeP. Para definir este índice são necessárias duas informações, onde a primeira refere-se a demanda equivalente de passageiros no período e a segunda à quilometragem percorrida pela frota. O Edital sugere uma relação de cálculo para estimar a demanda equivalente anual, conforme a proporção definida também neste anexo do Edital, porém não prevê proporcionalidade para estimar os quilômetros percorridos no período, inviabilizando o cálculo deste índice.</w:t>
      </w:r>
      <w:r w:rsidR="00A119F5">
        <w:t xml:space="preserve"> </w:t>
      </w:r>
      <w:r>
        <w:t>Sendo assim</w:t>
      </w:r>
      <w:r w:rsidR="00A119F5">
        <w:t>, o cálculo do IPKeP fica prejudicado. Em um esforço, considerando apenas as variáveis reais do período de concessão pode-se identificar o IPKe de cada mês (com dados reais), a média deste índice no período de julho a outubro de 2017 foi equivalente a IPKe</w:t>
      </w:r>
      <w:r w:rsidR="00A119F5">
        <w:rPr>
          <w:vertAlign w:val="subscript"/>
        </w:rPr>
        <w:t>Médio</w:t>
      </w:r>
      <w:r w:rsidR="00A119F5">
        <w:t xml:space="preserve"> igual a 1,4674 assim como apresentado na</w:t>
      </w:r>
      <w:r w:rsidR="00FD131B">
        <w:t xml:space="preserve"> Tabela 1 na sequência</w:t>
      </w:r>
      <w:r w:rsidR="00A119F5">
        <w:t>.</w:t>
      </w:r>
      <w:bookmarkStart w:id="8" w:name="_Ref499710395"/>
    </w:p>
    <w:p w:rsidR="00E63455" w:rsidRDefault="00E63455" w:rsidP="000359FE">
      <w:pPr>
        <w:spacing w:before="0" w:after="0"/>
        <w:ind w:firstLine="851"/>
        <w:rPr>
          <w:b/>
        </w:rPr>
      </w:pPr>
      <w:r w:rsidRPr="00E63455">
        <w:rPr>
          <w:b/>
          <w:i/>
          <w:iCs/>
        </w:rPr>
        <w:t xml:space="preserve"> </w:t>
      </w:r>
    </w:p>
    <w:p w:rsidR="00E63455" w:rsidRPr="00BE37C9" w:rsidRDefault="00E63455" w:rsidP="000359FE">
      <w:pPr>
        <w:pStyle w:val="Legenda"/>
        <w:spacing w:after="0"/>
        <w:ind w:firstLine="0"/>
        <w:rPr>
          <w:b/>
          <w:i w:val="0"/>
          <w:iCs w:val="0"/>
          <w:color w:val="auto"/>
          <w:sz w:val="24"/>
          <w:szCs w:val="24"/>
        </w:rPr>
      </w:pPr>
      <w:r w:rsidRPr="00BE37C9">
        <w:rPr>
          <w:b/>
          <w:i w:val="0"/>
          <w:iCs w:val="0"/>
          <w:color w:val="auto"/>
          <w:sz w:val="24"/>
          <w:szCs w:val="24"/>
        </w:rPr>
        <w:t xml:space="preserve">Tabela </w:t>
      </w:r>
      <w:r w:rsidR="0014079C" w:rsidRPr="00BE37C9">
        <w:rPr>
          <w:b/>
          <w:i w:val="0"/>
          <w:iCs w:val="0"/>
          <w:color w:val="auto"/>
          <w:sz w:val="24"/>
          <w:szCs w:val="24"/>
        </w:rPr>
        <w:fldChar w:fldCharType="begin"/>
      </w:r>
      <w:r w:rsidRPr="00BE37C9">
        <w:rPr>
          <w:b/>
          <w:i w:val="0"/>
          <w:iCs w:val="0"/>
          <w:color w:val="auto"/>
          <w:sz w:val="24"/>
          <w:szCs w:val="24"/>
        </w:rPr>
        <w:instrText xml:space="preserve"> SEQ Tabela \* ARABIC </w:instrText>
      </w:r>
      <w:r w:rsidR="0014079C" w:rsidRPr="00BE37C9">
        <w:rPr>
          <w:b/>
          <w:i w:val="0"/>
          <w:iCs w:val="0"/>
          <w:color w:val="auto"/>
          <w:sz w:val="24"/>
          <w:szCs w:val="24"/>
        </w:rPr>
        <w:fldChar w:fldCharType="separate"/>
      </w:r>
      <w:r w:rsidR="00E02CAD">
        <w:rPr>
          <w:b/>
          <w:i w:val="0"/>
          <w:iCs w:val="0"/>
          <w:noProof/>
          <w:color w:val="auto"/>
          <w:sz w:val="24"/>
          <w:szCs w:val="24"/>
        </w:rPr>
        <w:t>1</w:t>
      </w:r>
      <w:r w:rsidR="0014079C" w:rsidRPr="00BE37C9">
        <w:rPr>
          <w:b/>
          <w:i w:val="0"/>
          <w:iCs w:val="0"/>
          <w:color w:val="auto"/>
          <w:sz w:val="24"/>
          <w:szCs w:val="24"/>
        </w:rPr>
        <w:fldChar w:fldCharType="end"/>
      </w:r>
      <w:bookmarkEnd w:id="8"/>
      <w:r w:rsidRPr="00BE37C9">
        <w:rPr>
          <w:b/>
          <w:i w:val="0"/>
          <w:iCs w:val="0"/>
          <w:color w:val="auto"/>
          <w:sz w:val="24"/>
          <w:szCs w:val="24"/>
        </w:rPr>
        <w:t>: Cálculo do IPKe Médio no período de concessão.</w:t>
      </w:r>
    </w:p>
    <w:tbl>
      <w:tblPr>
        <w:tblW w:w="5000" w:type="pct"/>
        <w:tblCellMar>
          <w:left w:w="70" w:type="dxa"/>
          <w:right w:w="70" w:type="dxa"/>
        </w:tblCellMar>
        <w:tblLook w:val="04A0" w:firstRow="1" w:lastRow="0" w:firstColumn="1" w:lastColumn="0" w:noHBand="0" w:noVBand="1"/>
      </w:tblPr>
      <w:tblGrid>
        <w:gridCol w:w="1798"/>
        <w:gridCol w:w="1732"/>
        <w:gridCol w:w="2352"/>
        <w:gridCol w:w="1665"/>
        <w:gridCol w:w="1664"/>
      </w:tblGrid>
      <w:tr w:rsidR="000D2DBD" w:rsidRPr="000D2DBD" w:rsidTr="000359FE">
        <w:trPr>
          <w:trHeight w:val="315"/>
        </w:trPr>
        <w:tc>
          <w:tcPr>
            <w:tcW w:w="976"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Mês</w:t>
            </w:r>
          </w:p>
        </w:tc>
        <w:tc>
          <w:tcPr>
            <w:tcW w:w="940" w:type="pct"/>
            <w:tcBorders>
              <w:top w:val="single" w:sz="12"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Tabela Anexo V</w:t>
            </w:r>
          </w:p>
        </w:tc>
        <w:tc>
          <w:tcPr>
            <w:tcW w:w="1277" w:type="pct"/>
            <w:tcBorders>
              <w:top w:val="single" w:sz="12"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Demanda Equivalente</w:t>
            </w:r>
          </w:p>
        </w:tc>
        <w:tc>
          <w:tcPr>
            <w:tcW w:w="904" w:type="pct"/>
            <w:tcBorders>
              <w:top w:val="single" w:sz="12"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km</w:t>
            </w:r>
          </w:p>
        </w:tc>
        <w:tc>
          <w:tcPr>
            <w:tcW w:w="903" w:type="pct"/>
            <w:tcBorders>
              <w:top w:val="single" w:sz="12" w:space="0" w:color="auto"/>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IPKe</w:t>
            </w:r>
          </w:p>
        </w:tc>
      </w:tr>
      <w:tr w:rsidR="000D2DBD" w:rsidRPr="000D2DBD" w:rsidTr="000359FE">
        <w:trPr>
          <w:trHeight w:val="300"/>
        </w:trPr>
        <w:tc>
          <w:tcPr>
            <w:tcW w:w="976" w:type="pct"/>
            <w:tcBorders>
              <w:top w:val="nil"/>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Julho</w:t>
            </w:r>
          </w:p>
        </w:tc>
        <w:tc>
          <w:tcPr>
            <w:tcW w:w="940"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8,76%</w:t>
            </w:r>
          </w:p>
        </w:tc>
        <w:tc>
          <w:tcPr>
            <w:tcW w:w="1277"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1.855.672,00</w:t>
            </w:r>
          </w:p>
        </w:tc>
        <w:tc>
          <w:tcPr>
            <w:tcW w:w="904"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1.365.331,00</w:t>
            </w:r>
          </w:p>
        </w:tc>
        <w:tc>
          <w:tcPr>
            <w:tcW w:w="903" w:type="pct"/>
            <w:tcBorders>
              <w:top w:val="nil"/>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1,3591</w:t>
            </w:r>
          </w:p>
        </w:tc>
      </w:tr>
      <w:tr w:rsidR="000D2DBD" w:rsidRPr="000D2DBD" w:rsidTr="000359FE">
        <w:trPr>
          <w:trHeight w:val="300"/>
        </w:trPr>
        <w:tc>
          <w:tcPr>
            <w:tcW w:w="976" w:type="pct"/>
            <w:tcBorders>
              <w:top w:val="nil"/>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Agosto</w:t>
            </w:r>
          </w:p>
        </w:tc>
        <w:tc>
          <w:tcPr>
            <w:tcW w:w="940"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9,06%</w:t>
            </w:r>
          </w:p>
        </w:tc>
        <w:tc>
          <w:tcPr>
            <w:tcW w:w="1277"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2.162.061,50</w:t>
            </w:r>
          </w:p>
        </w:tc>
        <w:tc>
          <w:tcPr>
            <w:tcW w:w="904"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1.425.839,00</w:t>
            </w:r>
          </w:p>
        </w:tc>
        <w:tc>
          <w:tcPr>
            <w:tcW w:w="903" w:type="pct"/>
            <w:tcBorders>
              <w:top w:val="nil"/>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1,5163</w:t>
            </w:r>
          </w:p>
        </w:tc>
      </w:tr>
      <w:tr w:rsidR="000D2DBD" w:rsidRPr="000D2DBD" w:rsidTr="000359FE">
        <w:trPr>
          <w:trHeight w:val="300"/>
        </w:trPr>
        <w:tc>
          <w:tcPr>
            <w:tcW w:w="976" w:type="pct"/>
            <w:tcBorders>
              <w:top w:val="nil"/>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Setembro</w:t>
            </w:r>
          </w:p>
        </w:tc>
        <w:tc>
          <w:tcPr>
            <w:tcW w:w="940"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8,69%</w:t>
            </w:r>
          </w:p>
        </w:tc>
        <w:tc>
          <w:tcPr>
            <w:tcW w:w="1277"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1.942.283,00</w:t>
            </w:r>
          </w:p>
        </w:tc>
        <w:tc>
          <w:tcPr>
            <w:tcW w:w="904"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1.309.560,00</w:t>
            </w:r>
          </w:p>
        </w:tc>
        <w:tc>
          <w:tcPr>
            <w:tcW w:w="903" w:type="pct"/>
            <w:tcBorders>
              <w:top w:val="nil"/>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1,4832</w:t>
            </w:r>
          </w:p>
        </w:tc>
      </w:tr>
      <w:tr w:rsidR="000D2DBD" w:rsidRPr="000D2DBD" w:rsidTr="000359FE">
        <w:trPr>
          <w:trHeight w:val="315"/>
        </w:trPr>
        <w:tc>
          <w:tcPr>
            <w:tcW w:w="976" w:type="pct"/>
            <w:tcBorders>
              <w:top w:val="nil"/>
              <w:left w:val="single" w:sz="12" w:space="0" w:color="auto"/>
              <w:bottom w:val="thinThickSmallGap" w:sz="2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Outubro</w:t>
            </w:r>
          </w:p>
        </w:tc>
        <w:tc>
          <w:tcPr>
            <w:tcW w:w="940" w:type="pct"/>
            <w:tcBorders>
              <w:top w:val="nil"/>
              <w:left w:val="nil"/>
              <w:bottom w:val="thinThickSmallGap" w:sz="2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9,51%</w:t>
            </w:r>
          </w:p>
        </w:tc>
        <w:tc>
          <w:tcPr>
            <w:tcW w:w="1277" w:type="pct"/>
            <w:tcBorders>
              <w:top w:val="nil"/>
              <w:left w:val="nil"/>
              <w:bottom w:val="thinThickSmallGap" w:sz="2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2.062.976,50</w:t>
            </w:r>
          </w:p>
        </w:tc>
        <w:tc>
          <w:tcPr>
            <w:tcW w:w="904" w:type="pct"/>
            <w:tcBorders>
              <w:top w:val="nil"/>
              <w:left w:val="nil"/>
              <w:bottom w:val="thinThickSmallGap" w:sz="2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1.366.727,00</w:t>
            </w:r>
          </w:p>
        </w:tc>
        <w:tc>
          <w:tcPr>
            <w:tcW w:w="903" w:type="pct"/>
            <w:tcBorders>
              <w:top w:val="nil"/>
              <w:left w:val="nil"/>
              <w:bottom w:val="thinThickSmallGap" w:sz="2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1,5094</w:t>
            </w:r>
          </w:p>
        </w:tc>
      </w:tr>
      <w:tr w:rsidR="000D2DBD" w:rsidRPr="000D2DBD" w:rsidTr="000359FE">
        <w:trPr>
          <w:trHeight w:val="300"/>
        </w:trPr>
        <w:tc>
          <w:tcPr>
            <w:tcW w:w="976" w:type="pct"/>
            <w:tcBorders>
              <w:top w:val="thinThickSmallGap" w:sz="24" w:space="0" w:color="auto"/>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Soma</w:t>
            </w:r>
          </w:p>
        </w:tc>
        <w:tc>
          <w:tcPr>
            <w:tcW w:w="940" w:type="pct"/>
            <w:tcBorders>
              <w:top w:val="thinThickSmallGap" w:sz="24"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36,02%</w:t>
            </w:r>
          </w:p>
        </w:tc>
        <w:tc>
          <w:tcPr>
            <w:tcW w:w="1277" w:type="pct"/>
            <w:tcBorders>
              <w:top w:val="thinThickSmallGap" w:sz="24"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8.022.993,00</w:t>
            </w:r>
          </w:p>
        </w:tc>
        <w:tc>
          <w:tcPr>
            <w:tcW w:w="904" w:type="pct"/>
            <w:tcBorders>
              <w:top w:val="thinThickSmallGap" w:sz="24"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5.467.457,00</w:t>
            </w:r>
          </w:p>
        </w:tc>
        <w:tc>
          <w:tcPr>
            <w:tcW w:w="903" w:type="pct"/>
            <w:tcBorders>
              <w:top w:val="thinThickSmallGap" w:sz="24" w:space="0" w:color="auto"/>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5,8681</w:t>
            </w:r>
          </w:p>
        </w:tc>
      </w:tr>
      <w:tr w:rsidR="000D2DBD" w:rsidRPr="000D2DBD" w:rsidTr="000359FE">
        <w:trPr>
          <w:trHeight w:val="315"/>
        </w:trPr>
        <w:tc>
          <w:tcPr>
            <w:tcW w:w="976" w:type="pct"/>
            <w:tcBorders>
              <w:top w:val="nil"/>
              <w:left w:val="single" w:sz="12" w:space="0" w:color="auto"/>
              <w:bottom w:val="single" w:sz="12" w:space="0" w:color="auto"/>
              <w:right w:val="single" w:sz="4" w:space="0" w:color="auto"/>
            </w:tcBorders>
            <w:shd w:val="clear" w:color="auto" w:fill="auto"/>
            <w:noWrap/>
            <w:vAlign w:val="bottom"/>
            <w:hideMark/>
          </w:tcPr>
          <w:p w:rsidR="000D2DBD" w:rsidRPr="000359FE" w:rsidRDefault="000D2DBD" w:rsidP="000D2DBD">
            <w:pPr>
              <w:spacing w:before="0" w:after="0" w:line="240" w:lineRule="auto"/>
              <w:ind w:firstLine="0"/>
              <w:jc w:val="left"/>
              <w:rPr>
                <w:rFonts w:ascii="Calibri" w:hAnsi="Calibri" w:cs="Calibri"/>
                <w:b/>
                <w:color w:val="000000"/>
                <w:sz w:val="22"/>
                <w:szCs w:val="22"/>
              </w:rPr>
            </w:pPr>
            <w:r w:rsidRPr="000359FE">
              <w:rPr>
                <w:rFonts w:ascii="Calibri" w:hAnsi="Calibri" w:cs="Calibri"/>
                <w:b/>
                <w:color w:val="000000"/>
                <w:sz w:val="22"/>
                <w:szCs w:val="22"/>
              </w:rPr>
              <w:t>IPKeP(Médio)</w:t>
            </w:r>
          </w:p>
        </w:tc>
        <w:tc>
          <w:tcPr>
            <w:tcW w:w="940" w:type="pct"/>
            <w:tcBorders>
              <w:top w:val="nil"/>
              <w:left w:val="nil"/>
              <w:bottom w:val="single" w:sz="12" w:space="0" w:color="auto"/>
              <w:right w:val="single" w:sz="4" w:space="0" w:color="auto"/>
            </w:tcBorders>
            <w:shd w:val="clear" w:color="auto" w:fill="auto"/>
            <w:noWrap/>
            <w:vAlign w:val="bottom"/>
            <w:hideMark/>
          </w:tcPr>
          <w:p w:rsidR="000D2DBD" w:rsidRPr="000359FE" w:rsidRDefault="000D2DBD" w:rsidP="000D2DBD">
            <w:pPr>
              <w:spacing w:before="0" w:after="0" w:line="240" w:lineRule="auto"/>
              <w:ind w:firstLine="0"/>
              <w:jc w:val="right"/>
              <w:rPr>
                <w:rFonts w:ascii="Calibri" w:hAnsi="Calibri" w:cs="Calibri"/>
                <w:b/>
                <w:color w:val="000000"/>
                <w:sz w:val="22"/>
                <w:szCs w:val="22"/>
              </w:rPr>
            </w:pPr>
            <w:r w:rsidRPr="000359FE">
              <w:rPr>
                <w:rFonts w:ascii="Calibri" w:hAnsi="Calibri" w:cs="Calibri"/>
                <w:b/>
                <w:color w:val="000000"/>
                <w:sz w:val="22"/>
                <w:szCs w:val="22"/>
              </w:rPr>
              <w:t>9,01%</w:t>
            </w:r>
          </w:p>
        </w:tc>
        <w:tc>
          <w:tcPr>
            <w:tcW w:w="1277" w:type="pct"/>
            <w:tcBorders>
              <w:top w:val="nil"/>
              <w:left w:val="nil"/>
              <w:bottom w:val="single" w:sz="12" w:space="0" w:color="auto"/>
              <w:right w:val="single" w:sz="4" w:space="0" w:color="auto"/>
            </w:tcBorders>
            <w:shd w:val="clear" w:color="auto" w:fill="auto"/>
            <w:noWrap/>
            <w:vAlign w:val="bottom"/>
            <w:hideMark/>
          </w:tcPr>
          <w:p w:rsidR="000D2DBD" w:rsidRPr="000359FE" w:rsidRDefault="000D2DBD" w:rsidP="000D2DBD">
            <w:pPr>
              <w:spacing w:before="0" w:after="0" w:line="240" w:lineRule="auto"/>
              <w:ind w:firstLine="0"/>
              <w:jc w:val="right"/>
              <w:rPr>
                <w:rFonts w:ascii="Calibri" w:hAnsi="Calibri" w:cs="Calibri"/>
                <w:b/>
                <w:color w:val="000000"/>
                <w:sz w:val="22"/>
                <w:szCs w:val="22"/>
              </w:rPr>
            </w:pPr>
            <w:r w:rsidRPr="000359FE">
              <w:rPr>
                <w:rFonts w:ascii="Calibri" w:hAnsi="Calibri" w:cs="Calibri"/>
                <w:b/>
                <w:color w:val="000000"/>
                <w:sz w:val="22"/>
                <w:szCs w:val="22"/>
              </w:rPr>
              <w:t>22.273.717,38</w:t>
            </w:r>
          </w:p>
        </w:tc>
        <w:tc>
          <w:tcPr>
            <w:tcW w:w="904" w:type="pct"/>
            <w:tcBorders>
              <w:top w:val="nil"/>
              <w:left w:val="nil"/>
              <w:bottom w:val="single" w:sz="12" w:space="0" w:color="auto"/>
              <w:right w:val="single" w:sz="4" w:space="0" w:color="auto"/>
            </w:tcBorders>
            <w:shd w:val="clear" w:color="auto" w:fill="auto"/>
            <w:noWrap/>
            <w:vAlign w:val="bottom"/>
            <w:hideMark/>
          </w:tcPr>
          <w:p w:rsidR="000D2DBD" w:rsidRPr="000359FE" w:rsidRDefault="000D2DBD" w:rsidP="000D2DBD">
            <w:pPr>
              <w:spacing w:before="0" w:after="0" w:line="240" w:lineRule="auto"/>
              <w:ind w:firstLine="0"/>
              <w:jc w:val="right"/>
              <w:rPr>
                <w:rFonts w:ascii="Calibri" w:hAnsi="Calibri" w:cs="Calibri"/>
                <w:b/>
                <w:color w:val="000000"/>
                <w:sz w:val="22"/>
                <w:szCs w:val="22"/>
              </w:rPr>
            </w:pPr>
            <w:r w:rsidRPr="000359FE">
              <w:rPr>
                <w:rFonts w:ascii="Calibri" w:hAnsi="Calibri" w:cs="Calibri"/>
                <w:b/>
                <w:color w:val="000000"/>
                <w:sz w:val="22"/>
                <w:szCs w:val="22"/>
              </w:rPr>
              <w:t>15.178.947,81</w:t>
            </w:r>
          </w:p>
        </w:tc>
        <w:tc>
          <w:tcPr>
            <w:tcW w:w="903" w:type="pct"/>
            <w:tcBorders>
              <w:top w:val="nil"/>
              <w:left w:val="nil"/>
              <w:bottom w:val="single" w:sz="12" w:space="0" w:color="auto"/>
              <w:right w:val="single" w:sz="12" w:space="0" w:color="auto"/>
            </w:tcBorders>
            <w:shd w:val="clear" w:color="auto" w:fill="auto"/>
            <w:noWrap/>
            <w:vAlign w:val="bottom"/>
            <w:hideMark/>
          </w:tcPr>
          <w:p w:rsidR="000D2DBD" w:rsidRPr="000359FE" w:rsidRDefault="000D2DBD" w:rsidP="000D2DBD">
            <w:pPr>
              <w:spacing w:before="0" w:after="0" w:line="240" w:lineRule="auto"/>
              <w:ind w:firstLine="0"/>
              <w:jc w:val="right"/>
              <w:rPr>
                <w:rFonts w:ascii="Calibri" w:hAnsi="Calibri" w:cs="Calibri"/>
                <w:b/>
                <w:color w:val="000000"/>
                <w:sz w:val="22"/>
                <w:szCs w:val="22"/>
              </w:rPr>
            </w:pPr>
            <w:r w:rsidRPr="000359FE">
              <w:rPr>
                <w:rFonts w:ascii="Calibri" w:hAnsi="Calibri" w:cs="Calibri"/>
                <w:b/>
                <w:color w:val="000000"/>
                <w:sz w:val="22"/>
                <w:szCs w:val="22"/>
              </w:rPr>
              <w:t>1,4674</w:t>
            </w:r>
          </w:p>
        </w:tc>
      </w:tr>
    </w:tbl>
    <w:p w:rsidR="00E63455" w:rsidRPr="00CC1E75" w:rsidRDefault="00E63455" w:rsidP="00153DBA">
      <w:pPr>
        <w:spacing w:before="0" w:after="0" w:line="240" w:lineRule="auto"/>
        <w:ind w:firstLine="0"/>
        <w:rPr>
          <w:sz w:val="20"/>
        </w:rPr>
      </w:pPr>
      <w:r>
        <w:rPr>
          <w:sz w:val="20"/>
        </w:rPr>
        <w:t>Fonte: AGIR</w:t>
      </w:r>
      <w:r w:rsidR="00FD131B">
        <w:rPr>
          <w:sz w:val="20"/>
        </w:rPr>
        <w:t xml:space="preserve"> (2017).</w:t>
      </w:r>
    </w:p>
    <w:p w:rsidR="00FD131B" w:rsidRDefault="00FD131B" w:rsidP="00153DBA">
      <w:pPr>
        <w:spacing w:before="0" w:after="0"/>
      </w:pPr>
    </w:p>
    <w:p w:rsidR="00E63455" w:rsidRPr="000359FE" w:rsidRDefault="00A119F5" w:rsidP="000359FE">
      <w:pPr>
        <w:spacing w:before="0" w:after="0"/>
      </w:pPr>
      <w:r>
        <w:t xml:space="preserve">A base de dados com as informações de IPK de cada mês, quando projetada pela proporcionalidade prevista no Anexo V do Edital de Concessão resulta em um </w:t>
      </w:r>
      <w:r>
        <w:lastRenderedPageBreak/>
        <w:t>IPKeP</w:t>
      </w:r>
      <w:r>
        <w:rPr>
          <w:vertAlign w:val="subscript"/>
        </w:rPr>
        <w:t>Proporcionalizado</w:t>
      </w:r>
      <w:r>
        <w:t xml:space="preserve"> igual a 1,3576. </w:t>
      </w:r>
      <w:r w:rsidR="00794F84">
        <w:t xml:space="preserve">As etapas para obter este resultado estão descritas na </w:t>
      </w:r>
      <w:r w:rsidR="00B93101">
        <w:t xml:space="preserve">Tabela 2, </w:t>
      </w:r>
      <w:r w:rsidR="00E73609">
        <w:t xml:space="preserve">que apresenta a </w:t>
      </w:r>
      <w:r w:rsidR="00415385" w:rsidRPr="00415385">
        <w:t xml:space="preserve">proporcionalidade de cada um dos três índices previstos no </w:t>
      </w:r>
      <w:r w:rsidR="00415385">
        <w:t>E</w:t>
      </w:r>
      <w:r w:rsidR="00415385" w:rsidRPr="00415385">
        <w:t>dital</w:t>
      </w:r>
      <w:r w:rsidR="00E73609">
        <w:t xml:space="preserve">, </w:t>
      </w:r>
      <w:r w:rsidR="00415385">
        <w:t xml:space="preserve">quais sejam </w:t>
      </w:r>
      <w:r w:rsidR="00E73609">
        <w:t>a demanda equivalente real, a quilometragem real e o IPKe calculado.</w:t>
      </w:r>
      <w:bookmarkStart w:id="9" w:name="_Ref499710495"/>
      <w:r w:rsidR="00E63455" w:rsidRPr="00E63455">
        <w:rPr>
          <w:b/>
          <w:i/>
          <w:iCs/>
        </w:rPr>
        <w:t xml:space="preserve"> </w:t>
      </w:r>
    </w:p>
    <w:p w:rsidR="00694F16" w:rsidRDefault="00694F16" w:rsidP="000359FE">
      <w:pPr>
        <w:spacing w:before="0" w:after="0"/>
        <w:rPr>
          <w:b/>
        </w:rPr>
      </w:pPr>
    </w:p>
    <w:p w:rsidR="00E63455" w:rsidRPr="002B3734" w:rsidRDefault="00E63455" w:rsidP="000359FE">
      <w:pPr>
        <w:pStyle w:val="Legenda"/>
        <w:spacing w:after="0"/>
        <w:ind w:firstLine="0"/>
        <w:rPr>
          <w:b/>
          <w:i w:val="0"/>
          <w:iCs w:val="0"/>
          <w:color w:val="auto"/>
          <w:sz w:val="24"/>
          <w:szCs w:val="24"/>
        </w:rPr>
      </w:pPr>
      <w:r w:rsidRPr="002B3734">
        <w:rPr>
          <w:b/>
          <w:i w:val="0"/>
          <w:iCs w:val="0"/>
          <w:color w:val="auto"/>
          <w:sz w:val="24"/>
          <w:szCs w:val="24"/>
        </w:rPr>
        <w:t xml:space="preserve">Tabela </w:t>
      </w:r>
      <w:r w:rsidR="0014079C" w:rsidRPr="002B3734">
        <w:rPr>
          <w:b/>
          <w:i w:val="0"/>
          <w:iCs w:val="0"/>
          <w:color w:val="auto"/>
          <w:sz w:val="24"/>
          <w:szCs w:val="24"/>
        </w:rPr>
        <w:fldChar w:fldCharType="begin"/>
      </w:r>
      <w:r w:rsidRPr="002B3734">
        <w:rPr>
          <w:b/>
          <w:i w:val="0"/>
          <w:iCs w:val="0"/>
          <w:color w:val="auto"/>
          <w:sz w:val="24"/>
          <w:szCs w:val="24"/>
        </w:rPr>
        <w:instrText xml:space="preserve"> SEQ Tabela \* ARABIC </w:instrText>
      </w:r>
      <w:r w:rsidR="0014079C" w:rsidRPr="002B3734">
        <w:rPr>
          <w:b/>
          <w:i w:val="0"/>
          <w:iCs w:val="0"/>
          <w:color w:val="auto"/>
          <w:sz w:val="24"/>
          <w:szCs w:val="24"/>
        </w:rPr>
        <w:fldChar w:fldCharType="separate"/>
      </w:r>
      <w:r w:rsidR="00E02CAD">
        <w:rPr>
          <w:b/>
          <w:i w:val="0"/>
          <w:iCs w:val="0"/>
          <w:noProof/>
          <w:color w:val="auto"/>
          <w:sz w:val="24"/>
          <w:szCs w:val="24"/>
        </w:rPr>
        <w:t>2</w:t>
      </w:r>
      <w:r w:rsidR="0014079C" w:rsidRPr="002B3734">
        <w:rPr>
          <w:b/>
          <w:i w:val="0"/>
          <w:iCs w:val="0"/>
          <w:color w:val="auto"/>
          <w:sz w:val="24"/>
          <w:szCs w:val="24"/>
        </w:rPr>
        <w:fldChar w:fldCharType="end"/>
      </w:r>
      <w:bookmarkEnd w:id="9"/>
      <w:r w:rsidRPr="002B3734">
        <w:rPr>
          <w:b/>
          <w:i w:val="0"/>
          <w:iCs w:val="0"/>
          <w:color w:val="auto"/>
          <w:sz w:val="24"/>
          <w:szCs w:val="24"/>
        </w:rPr>
        <w:t>: Cálculo de IPKeP pela proporção prevista no Edital.</w:t>
      </w:r>
    </w:p>
    <w:tbl>
      <w:tblPr>
        <w:tblW w:w="5000" w:type="pct"/>
        <w:tblCellMar>
          <w:left w:w="70" w:type="dxa"/>
          <w:right w:w="70" w:type="dxa"/>
        </w:tblCellMar>
        <w:tblLook w:val="04A0" w:firstRow="1" w:lastRow="0" w:firstColumn="1" w:lastColumn="0" w:noHBand="0" w:noVBand="1"/>
      </w:tblPr>
      <w:tblGrid>
        <w:gridCol w:w="2392"/>
        <w:gridCol w:w="1697"/>
        <w:gridCol w:w="2327"/>
        <w:gridCol w:w="1424"/>
        <w:gridCol w:w="1371"/>
      </w:tblGrid>
      <w:tr w:rsidR="000D2DBD" w:rsidRPr="000D2DBD" w:rsidTr="000359FE">
        <w:trPr>
          <w:trHeight w:val="315"/>
        </w:trPr>
        <w:tc>
          <w:tcPr>
            <w:tcW w:w="1299"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Mês</w:t>
            </w:r>
          </w:p>
        </w:tc>
        <w:tc>
          <w:tcPr>
            <w:tcW w:w="921" w:type="pct"/>
            <w:tcBorders>
              <w:top w:val="single" w:sz="12"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Tabela Anexo V</w:t>
            </w:r>
          </w:p>
        </w:tc>
        <w:tc>
          <w:tcPr>
            <w:tcW w:w="1263" w:type="pct"/>
            <w:tcBorders>
              <w:top w:val="single" w:sz="12"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Demanda Equivalente</w:t>
            </w:r>
          </w:p>
        </w:tc>
        <w:tc>
          <w:tcPr>
            <w:tcW w:w="773" w:type="pct"/>
            <w:tcBorders>
              <w:top w:val="single" w:sz="12"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km</w:t>
            </w:r>
          </w:p>
        </w:tc>
        <w:tc>
          <w:tcPr>
            <w:tcW w:w="744" w:type="pct"/>
            <w:tcBorders>
              <w:top w:val="single" w:sz="12" w:space="0" w:color="auto"/>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b/>
                <w:bCs/>
                <w:color w:val="000000"/>
                <w:sz w:val="22"/>
                <w:szCs w:val="22"/>
              </w:rPr>
            </w:pPr>
            <w:r w:rsidRPr="000D2DBD">
              <w:rPr>
                <w:rFonts w:ascii="Calibri" w:hAnsi="Calibri" w:cs="Calibri"/>
                <w:b/>
                <w:bCs/>
                <w:color w:val="000000"/>
                <w:sz w:val="22"/>
                <w:szCs w:val="22"/>
              </w:rPr>
              <w:t>IPKe</w:t>
            </w:r>
          </w:p>
        </w:tc>
      </w:tr>
      <w:tr w:rsidR="000D2DBD" w:rsidRPr="000D2DBD" w:rsidTr="000359FE">
        <w:trPr>
          <w:trHeight w:val="300"/>
        </w:trPr>
        <w:tc>
          <w:tcPr>
            <w:tcW w:w="1299" w:type="pct"/>
            <w:tcBorders>
              <w:top w:val="nil"/>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Julho</w:t>
            </w:r>
          </w:p>
        </w:tc>
        <w:tc>
          <w:tcPr>
            <w:tcW w:w="921"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8,76%</w:t>
            </w:r>
          </w:p>
        </w:tc>
        <w:tc>
          <w:tcPr>
            <w:tcW w:w="1263"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1.855.672,00</w:t>
            </w:r>
          </w:p>
        </w:tc>
        <w:tc>
          <w:tcPr>
            <w:tcW w:w="773"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1.365.331,00</w:t>
            </w:r>
          </w:p>
        </w:tc>
        <w:tc>
          <w:tcPr>
            <w:tcW w:w="744" w:type="pct"/>
            <w:tcBorders>
              <w:top w:val="nil"/>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1,3591</w:t>
            </w:r>
          </w:p>
        </w:tc>
      </w:tr>
      <w:tr w:rsidR="000D2DBD" w:rsidRPr="000D2DBD" w:rsidTr="000359FE">
        <w:trPr>
          <w:trHeight w:val="300"/>
        </w:trPr>
        <w:tc>
          <w:tcPr>
            <w:tcW w:w="1299" w:type="pct"/>
            <w:tcBorders>
              <w:top w:val="nil"/>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Agosto</w:t>
            </w:r>
          </w:p>
        </w:tc>
        <w:tc>
          <w:tcPr>
            <w:tcW w:w="921"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9,06%</w:t>
            </w:r>
          </w:p>
        </w:tc>
        <w:tc>
          <w:tcPr>
            <w:tcW w:w="1263"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2.162.061,50</w:t>
            </w:r>
          </w:p>
        </w:tc>
        <w:tc>
          <w:tcPr>
            <w:tcW w:w="773"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1.425.839,00</w:t>
            </w:r>
          </w:p>
        </w:tc>
        <w:tc>
          <w:tcPr>
            <w:tcW w:w="744" w:type="pct"/>
            <w:tcBorders>
              <w:top w:val="nil"/>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1,5163</w:t>
            </w:r>
          </w:p>
        </w:tc>
      </w:tr>
      <w:tr w:rsidR="000D2DBD" w:rsidRPr="000D2DBD" w:rsidTr="000359FE">
        <w:trPr>
          <w:trHeight w:val="300"/>
        </w:trPr>
        <w:tc>
          <w:tcPr>
            <w:tcW w:w="1299" w:type="pct"/>
            <w:tcBorders>
              <w:top w:val="nil"/>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Setembro</w:t>
            </w:r>
          </w:p>
        </w:tc>
        <w:tc>
          <w:tcPr>
            <w:tcW w:w="921"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8,69%</w:t>
            </w:r>
          </w:p>
        </w:tc>
        <w:tc>
          <w:tcPr>
            <w:tcW w:w="1263"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1.942.283,00</w:t>
            </w:r>
          </w:p>
        </w:tc>
        <w:tc>
          <w:tcPr>
            <w:tcW w:w="773" w:type="pct"/>
            <w:tcBorders>
              <w:top w:val="nil"/>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1.309.560,00</w:t>
            </w:r>
          </w:p>
        </w:tc>
        <w:tc>
          <w:tcPr>
            <w:tcW w:w="744" w:type="pct"/>
            <w:tcBorders>
              <w:top w:val="nil"/>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1,4832</w:t>
            </w:r>
          </w:p>
        </w:tc>
      </w:tr>
      <w:tr w:rsidR="000D2DBD" w:rsidRPr="000D2DBD" w:rsidTr="000359FE">
        <w:trPr>
          <w:trHeight w:val="300"/>
        </w:trPr>
        <w:tc>
          <w:tcPr>
            <w:tcW w:w="1299" w:type="pct"/>
            <w:tcBorders>
              <w:top w:val="nil"/>
              <w:left w:val="single" w:sz="12" w:space="0" w:color="auto"/>
              <w:bottom w:val="thinThickSmallGap" w:sz="2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Outubro</w:t>
            </w:r>
          </w:p>
        </w:tc>
        <w:tc>
          <w:tcPr>
            <w:tcW w:w="921" w:type="pct"/>
            <w:tcBorders>
              <w:top w:val="nil"/>
              <w:left w:val="nil"/>
              <w:bottom w:val="thinThickSmallGap" w:sz="2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9,51%</w:t>
            </w:r>
          </w:p>
        </w:tc>
        <w:tc>
          <w:tcPr>
            <w:tcW w:w="1263" w:type="pct"/>
            <w:tcBorders>
              <w:top w:val="nil"/>
              <w:left w:val="nil"/>
              <w:bottom w:val="thinThickSmallGap" w:sz="2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2.062.976,50</w:t>
            </w:r>
          </w:p>
        </w:tc>
        <w:tc>
          <w:tcPr>
            <w:tcW w:w="773" w:type="pct"/>
            <w:tcBorders>
              <w:top w:val="nil"/>
              <w:left w:val="nil"/>
              <w:bottom w:val="thinThickSmallGap" w:sz="2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1.366.727,00</w:t>
            </w:r>
          </w:p>
        </w:tc>
        <w:tc>
          <w:tcPr>
            <w:tcW w:w="744" w:type="pct"/>
            <w:tcBorders>
              <w:top w:val="nil"/>
              <w:left w:val="nil"/>
              <w:bottom w:val="thinThickSmallGap" w:sz="2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1,5094</w:t>
            </w:r>
          </w:p>
        </w:tc>
      </w:tr>
      <w:tr w:rsidR="000D2DBD" w:rsidRPr="000D2DBD" w:rsidTr="000359FE">
        <w:trPr>
          <w:trHeight w:val="300"/>
        </w:trPr>
        <w:tc>
          <w:tcPr>
            <w:tcW w:w="1299" w:type="pct"/>
            <w:tcBorders>
              <w:top w:val="thinThickSmallGap" w:sz="24" w:space="0" w:color="auto"/>
              <w:left w:val="single" w:sz="12" w:space="0" w:color="auto"/>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left"/>
              <w:rPr>
                <w:rFonts w:ascii="Calibri" w:hAnsi="Calibri" w:cs="Calibri"/>
                <w:color w:val="000000"/>
                <w:sz w:val="22"/>
                <w:szCs w:val="22"/>
              </w:rPr>
            </w:pPr>
            <w:r w:rsidRPr="000D2DBD">
              <w:rPr>
                <w:rFonts w:ascii="Calibri" w:hAnsi="Calibri" w:cs="Calibri"/>
                <w:color w:val="000000"/>
                <w:sz w:val="22"/>
                <w:szCs w:val="22"/>
              </w:rPr>
              <w:t>Soma</w:t>
            </w:r>
          </w:p>
        </w:tc>
        <w:tc>
          <w:tcPr>
            <w:tcW w:w="921" w:type="pct"/>
            <w:tcBorders>
              <w:top w:val="thinThickSmallGap" w:sz="24"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center"/>
              <w:rPr>
                <w:rFonts w:ascii="Calibri" w:hAnsi="Calibri" w:cs="Calibri"/>
                <w:color w:val="000000"/>
                <w:sz w:val="22"/>
                <w:szCs w:val="22"/>
              </w:rPr>
            </w:pPr>
            <w:r w:rsidRPr="000D2DBD">
              <w:rPr>
                <w:rFonts w:ascii="Calibri" w:hAnsi="Calibri" w:cs="Calibri"/>
                <w:color w:val="000000"/>
                <w:sz w:val="22"/>
                <w:szCs w:val="22"/>
              </w:rPr>
              <w:t>36,02%</w:t>
            </w:r>
          </w:p>
        </w:tc>
        <w:tc>
          <w:tcPr>
            <w:tcW w:w="1263" w:type="pct"/>
            <w:tcBorders>
              <w:top w:val="thinThickSmallGap" w:sz="24"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8.022.993,00</w:t>
            </w:r>
          </w:p>
        </w:tc>
        <w:tc>
          <w:tcPr>
            <w:tcW w:w="773" w:type="pct"/>
            <w:tcBorders>
              <w:top w:val="thinThickSmallGap" w:sz="24" w:space="0" w:color="auto"/>
              <w:left w:val="nil"/>
              <w:bottom w:val="single" w:sz="4" w:space="0" w:color="auto"/>
              <w:right w:val="single" w:sz="4"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5.467.457,00</w:t>
            </w:r>
          </w:p>
        </w:tc>
        <w:tc>
          <w:tcPr>
            <w:tcW w:w="744" w:type="pct"/>
            <w:tcBorders>
              <w:top w:val="thinThickSmallGap" w:sz="24" w:space="0" w:color="auto"/>
              <w:left w:val="nil"/>
              <w:bottom w:val="single" w:sz="4" w:space="0" w:color="auto"/>
              <w:right w:val="single" w:sz="12" w:space="0" w:color="auto"/>
            </w:tcBorders>
            <w:shd w:val="clear" w:color="auto" w:fill="auto"/>
            <w:noWrap/>
            <w:vAlign w:val="center"/>
            <w:hideMark/>
          </w:tcPr>
          <w:p w:rsidR="000D2DBD" w:rsidRPr="000D2DBD" w:rsidRDefault="000D2DBD" w:rsidP="000D2DBD">
            <w:pPr>
              <w:spacing w:before="0" w:after="0" w:line="240" w:lineRule="auto"/>
              <w:ind w:firstLine="0"/>
              <w:jc w:val="right"/>
              <w:rPr>
                <w:rFonts w:ascii="Calibri" w:hAnsi="Calibri" w:cs="Calibri"/>
                <w:color w:val="000000"/>
                <w:sz w:val="22"/>
                <w:szCs w:val="22"/>
              </w:rPr>
            </w:pPr>
            <w:r w:rsidRPr="000D2DBD">
              <w:rPr>
                <w:rFonts w:ascii="Calibri" w:hAnsi="Calibri" w:cs="Calibri"/>
                <w:color w:val="000000"/>
                <w:sz w:val="22"/>
                <w:szCs w:val="22"/>
              </w:rPr>
              <w:t>5,8681</w:t>
            </w:r>
          </w:p>
        </w:tc>
      </w:tr>
      <w:tr w:rsidR="000D2DBD" w:rsidRPr="000D2DBD" w:rsidTr="000359FE">
        <w:trPr>
          <w:trHeight w:val="315"/>
        </w:trPr>
        <w:tc>
          <w:tcPr>
            <w:tcW w:w="1299" w:type="pct"/>
            <w:tcBorders>
              <w:top w:val="nil"/>
              <w:left w:val="single" w:sz="12" w:space="0" w:color="auto"/>
              <w:bottom w:val="single" w:sz="12" w:space="0" w:color="auto"/>
              <w:right w:val="single" w:sz="4" w:space="0" w:color="auto"/>
            </w:tcBorders>
            <w:shd w:val="clear" w:color="auto" w:fill="auto"/>
            <w:noWrap/>
            <w:vAlign w:val="bottom"/>
            <w:hideMark/>
          </w:tcPr>
          <w:p w:rsidR="000D2DBD" w:rsidRPr="000359FE" w:rsidRDefault="000D2DBD" w:rsidP="000D2DBD">
            <w:pPr>
              <w:spacing w:before="0" w:after="0" w:line="240" w:lineRule="auto"/>
              <w:ind w:firstLine="0"/>
              <w:jc w:val="left"/>
              <w:rPr>
                <w:rFonts w:ascii="Calibri" w:hAnsi="Calibri" w:cs="Calibri"/>
                <w:b/>
                <w:color w:val="000000"/>
                <w:sz w:val="22"/>
                <w:szCs w:val="22"/>
              </w:rPr>
            </w:pPr>
            <w:r w:rsidRPr="000359FE">
              <w:rPr>
                <w:rFonts w:ascii="Calibri" w:hAnsi="Calibri" w:cs="Calibri"/>
                <w:b/>
                <w:color w:val="000000"/>
                <w:sz w:val="22"/>
                <w:szCs w:val="22"/>
              </w:rPr>
              <w:t>IPKeP(Contrato)</w:t>
            </w:r>
          </w:p>
        </w:tc>
        <w:tc>
          <w:tcPr>
            <w:tcW w:w="921" w:type="pct"/>
            <w:tcBorders>
              <w:top w:val="nil"/>
              <w:left w:val="nil"/>
              <w:bottom w:val="single" w:sz="12" w:space="0" w:color="auto"/>
              <w:right w:val="single" w:sz="4" w:space="0" w:color="auto"/>
            </w:tcBorders>
            <w:shd w:val="clear" w:color="auto" w:fill="auto"/>
            <w:noWrap/>
            <w:vAlign w:val="bottom"/>
            <w:hideMark/>
          </w:tcPr>
          <w:p w:rsidR="000D2DBD" w:rsidRPr="000359FE" w:rsidRDefault="000D2DBD" w:rsidP="000D2DBD">
            <w:pPr>
              <w:spacing w:before="0" w:after="0" w:line="240" w:lineRule="auto"/>
              <w:ind w:firstLine="0"/>
              <w:jc w:val="left"/>
              <w:rPr>
                <w:rFonts w:ascii="Calibri" w:hAnsi="Calibri" w:cs="Calibri"/>
                <w:b/>
                <w:color w:val="000000"/>
                <w:sz w:val="22"/>
                <w:szCs w:val="22"/>
              </w:rPr>
            </w:pPr>
            <w:r w:rsidRPr="000359FE">
              <w:rPr>
                <w:rFonts w:ascii="Calibri" w:hAnsi="Calibri" w:cs="Calibri"/>
                <w:b/>
                <w:color w:val="000000"/>
                <w:sz w:val="22"/>
                <w:szCs w:val="22"/>
              </w:rPr>
              <w:t> </w:t>
            </w:r>
          </w:p>
        </w:tc>
        <w:tc>
          <w:tcPr>
            <w:tcW w:w="1263" w:type="pct"/>
            <w:tcBorders>
              <w:top w:val="nil"/>
              <w:left w:val="nil"/>
              <w:bottom w:val="single" w:sz="12" w:space="0" w:color="auto"/>
              <w:right w:val="single" w:sz="4" w:space="0" w:color="auto"/>
            </w:tcBorders>
            <w:shd w:val="clear" w:color="auto" w:fill="auto"/>
            <w:noWrap/>
            <w:vAlign w:val="bottom"/>
            <w:hideMark/>
          </w:tcPr>
          <w:p w:rsidR="000D2DBD" w:rsidRPr="000359FE" w:rsidRDefault="000D2DBD" w:rsidP="000D2DBD">
            <w:pPr>
              <w:spacing w:before="0" w:after="0" w:line="240" w:lineRule="auto"/>
              <w:ind w:firstLine="0"/>
              <w:jc w:val="left"/>
              <w:rPr>
                <w:rFonts w:ascii="Calibri" w:hAnsi="Calibri" w:cs="Calibri"/>
                <w:b/>
                <w:color w:val="000000"/>
                <w:sz w:val="22"/>
                <w:szCs w:val="22"/>
              </w:rPr>
            </w:pPr>
            <w:r w:rsidRPr="000359FE">
              <w:rPr>
                <w:rFonts w:ascii="Calibri" w:hAnsi="Calibri" w:cs="Calibri"/>
                <w:b/>
                <w:color w:val="000000"/>
                <w:sz w:val="22"/>
                <w:szCs w:val="22"/>
              </w:rPr>
              <w:t> </w:t>
            </w:r>
          </w:p>
        </w:tc>
        <w:tc>
          <w:tcPr>
            <w:tcW w:w="773" w:type="pct"/>
            <w:tcBorders>
              <w:top w:val="nil"/>
              <w:left w:val="nil"/>
              <w:bottom w:val="single" w:sz="12" w:space="0" w:color="auto"/>
              <w:right w:val="single" w:sz="4" w:space="0" w:color="auto"/>
            </w:tcBorders>
            <w:shd w:val="clear" w:color="auto" w:fill="auto"/>
            <w:noWrap/>
            <w:vAlign w:val="bottom"/>
            <w:hideMark/>
          </w:tcPr>
          <w:p w:rsidR="000D2DBD" w:rsidRPr="000359FE" w:rsidRDefault="000D2DBD" w:rsidP="000D2DBD">
            <w:pPr>
              <w:spacing w:before="0" w:after="0" w:line="240" w:lineRule="auto"/>
              <w:ind w:firstLine="0"/>
              <w:jc w:val="left"/>
              <w:rPr>
                <w:rFonts w:ascii="Calibri" w:hAnsi="Calibri" w:cs="Calibri"/>
                <w:b/>
                <w:color w:val="000000"/>
                <w:sz w:val="22"/>
                <w:szCs w:val="22"/>
              </w:rPr>
            </w:pPr>
            <w:r w:rsidRPr="000359FE">
              <w:rPr>
                <w:rFonts w:ascii="Calibri" w:hAnsi="Calibri" w:cs="Calibri"/>
                <w:b/>
                <w:color w:val="000000"/>
                <w:sz w:val="22"/>
                <w:szCs w:val="22"/>
              </w:rPr>
              <w:t> </w:t>
            </w:r>
          </w:p>
        </w:tc>
        <w:tc>
          <w:tcPr>
            <w:tcW w:w="744" w:type="pct"/>
            <w:tcBorders>
              <w:top w:val="nil"/>
              <w:left w:val="nil"/>
              <w:bottom w:val="single" w:sz="12" w:space="0" w:color="auto"/>
              <w:right w:val="single" w:sz="12" w:space="0" w:color="auto"/>
            </w:tcBorders>
            <w:shd w:val="clear" w:color="auto" w:fill="auto"/>
            <w:noWrap/>
            <w:vAlign w:val="center"/>
            <w:hideMark/>
          </w:tcPr>
          <w:p w:rsidR="000D2DBD" w:rsidRPr="000359FE" w:rsidRDefault="000D2DBD" w:rsidP="000D2DBD">
            <w:pPr>
              <w:spacing w:before="0" w:after="0" w:line="240" w:lineRule="auto"/>
              <w:ind w:firstLine="0"/>
              <w:jc w:val="right"/>
              <w:rPr>
                <w:rFonts w:ascii="Calibri" w:hAnsi="Calibri" w:cs="Calibri"/>
                <w:b/>
                <w:color w:val="000000"/>
                <w:sz w:val="22"/>
                <w:szCs w:val="22"/>
              </w:rPr>
            </w:pPr>
            <w:r w:rsidRPr="000359FE">
              <w:rPr>
                <w:rFonts w:ascii="Calibri" w:hAnsi="Calibri" w:cs="Calibri"/>
                <w:b/>
                <w:color w:val="000000"/>
                <w:sz w:val="22"/>
                <w:szCs w:val="22"/>
              </w:rPr>
              <w:t>1,3576</w:t>
            </w:r>
          </w:p>
        </w:tc>
      </w:tr>
    </w:tbl>
    <w:p w:rsidR="00E63455" w:rsidRPr="00CC1E75" w:rsidRDefault="00E63455" w:rsidP="00153DBA">
      <w:pPr>
        <w:spacing w:before="0" w:after="0" w:line="240" w:lineRule="auto"/>
        <w:ind w:firstLine="0"/>
        <w:rPr>
          <w:sz w:val="20"/>
        </w:rPr>
      </w:pPr>
      <w:r>
        <w:rPr>
          <w:sz w:val="20"/>
        </w:rPr>
        <w:t>Fonte: AGIR</w:t>
      </w:r>
      <w:r w:rsidR="00E178FB">
        <w:rPr>
          <w:sz w:val="20"/>
        </w:rPr>
        <w:t xml:space="preserve"> (2017). </w:t>
      </w:r>
    </w:p>
    <w:p w:rsidR="00E178FB" w:rsidRDefault="00E178FB" w:rsidP="00153DBA">
      <w:pPr>
        <w:spacing w:before="0" w:after="0"/>
        <w:ind w:firstLine="851"/>
      </w:pPr>
    </w:p>
    <w:p w:rsidR="000D2DBD" w:rsidRDefault="00E73609" w:rsidP="000359FE">
      <w:pPr>
        <w:spacing w:before="0" w:after="0"/>
        <w:ind w:firstLine="851"/>
      </w:pPr>
      <w:r>
        <w:t>Observa-se uma grande variação entre os valores calculados de IPKeP</w:t>
      </w:r>
      <w:r w:rsidR="00E405A8">
        <w:rPr>
          <w:vertAlign w:val="subscript"/>
        </w:rPr>
        <w:t>Média</w:t>
      </w:r>
      <w:r w:rsidR="00E405A8">
        <w:t xml:space="preserve"> e o IPKeP</w:t>
      </w:r>
      <w:r w:rsidR="00E405A8">
        <w:rPr>
          <w:vertAlign w:val="subscript"/>
        </w:rPr>
        <w:t>Proporcionalizado</w:t>
      </w:r>
      <w:r w:rsidR="00E405A8">
        <w:t>, de maneira que considerando a média ocorrida nos meses apresentados em comparação com a proporcionalidade, a demanda equivalente de passageiros por quilômetro tenderia a diminuir, para que ao longo de 12 meses o valor real de IPKeP fosse 1,3576, tendência que não se pode afirmar ou se quer assegurar. Tem-se uma previsão de redução nos períodos de férias escolares e final no ano, mesmo assim, nada que se possa concretizar tamanha variação.</w:t>
      </w:r>
    </w:p>
    <w:p w:rsidR="00E405A8" w:rsidRPr="00E405A8" w:rsidRDefault="00E405A8" w:rsidP="000359FE">
      <w:pPr>
        <w:spacing w:before="0" w:after="0"/>
        <w:ind w:firstLine="851"/>
      </w:pPr>
      <w:r>
        <w:t>Desta forma, com objetivo de identificar o IPKeP efetivo para o cálculo do reajuste tarifário serão considerados os valores reais de demanda equivalente e quilometragem percorrida ocorridos nos doze meses anteriores a data de cálculo do reajuste. Os dados necessários para esta operação de cálculo foram disponibilizados pelo SETERB, com base no controle interno da instituição referente à demanda equivalente e a quilometragem percorrida. A apresentação desta etapa de cálculo será apresentada no item 3.3.</w:t>
      </w:r>
    </w:p>
    <w:p w:rsidR="00695285" w:rsidRDefault="00E178FB" w:rsidP="000359FE">
      <w:pPr>
        <w:spacing w:before="0" w:after="0"/>
        <w:ind w:firstLine="851"/>
      </w:pPr>
      <w:r>
        <w:t>Considerando, portanto, as</w:t>
      </w:r>
      <w:r w:rsidR="00546469">
        <w:t xml:space="preserve"> definições apresentadas até aqui, no item a seguir serão </w:t>
      </w:r>
      <w:r>
        <w:t>demonstrada</w:t>
      </w:r>
      <w:r w:rsidR="00546469">
        <w:t>s as etapas de cálculo para definição da tarifa.</w:t>
      </w:r>
    </w:p>
    <w:p w:rsidR="008B392C" w:rsidRDefault="008B392C" w:rsidP="000359FE">
      <w:pPr>
        <w:spacing w:before="0" w:after="0"/>
        <w:ind w:firstLine="851"/>
      </w:pPr>
    </w:p>
    <w:p w:rsidR="00563337" w:rsidRDefault="00563337" w:rsidP="000359FE">
      <w:pPr>
        <w:spacing w:before="0" w:after="0"/>
        <w:ind w:firstLine="851"/>
      </w:pPr>
    </w:p>
    <w:p w:rsidR="008B392C" w:rsidRPr="000656FE" w:rsidRDefault="008B392C" w:rsidP="000359FE">
      <w:pPr>
        <w:spacing w:before="0" w:after="0"/>
        <w:rPr>
          <w:b/>
        </w:rPr>
      </w:pPr>
      <w:r w:rsidRPr="000656FE">
        <w:rPr>
          <w:b/>
        </w:rPr>
        <w:t>3.</w:t>
      </w:r>
      <w:r>
        <w:rPr>
          <w:b/>
        </w:rPr>
        <w:t>3</w:t>
      </w:r>
      <w:r w:rsidRPr="000656FE">
        <w:rPr>
          <w:b/>
        </w:rPr>
        <w:tab/>
      </w:r>
      <w:r>
        <w:rPr>
          <w:b/>
        </w:rPr>
        <w:t>Apresentação dos cálculos de reajuste</w:t>
      </w:r>
    </w:p>
    <w:p w:rsidR="008B392C" w:rsidRPr="00D624F4" w:rsidRDefault="008B392C" w:rsidP="00153DBA">
      <w:pPr>
        <w:spacing w:before="0" w:after="0"/>
        <w:ind w:firstLine="851"/>
      </w:pPr>
    </w:p>
    <w:p w:rsidR="00546469" w:rsidRDefault="00546469" w:rsidP="000359FE">
      <w:pPr>
        <w:spacing w:before="0" w:after="0"/>
        <w:ind w:firstLine="851"/>
      </w:pPr>
      <w:r w:rsidRPr="000359FE">
        <w:t xml:space="preserve">Conforme </w:t>
      </w:r>
      <w:r>
        <w:t xml:space="preserve">apresentado no item anterior o </w:t>
      </w:r>
      <w:r w:rsidR="00831912">
        <w:t xml:space="preserve">reajuste da tarifa é realizado por uma composição paramétrica definida em </w:t>
      </w:r>
      <w:r w:rsidR="007C1153">
        <w:t>C</w:t>
      </w:r>
      <w:r w:rsidR="00831912">
        <w:t>ontrato conforme a equação demonstrada abaixo</w:t>
      </w:r>
      <w:r w:rsidR="007C1153">
        <w:t>:</w:t>
      </w:r>
    </w:p>
    <w:p w:rsidR="00BC5278" w:rsidRPr="000359FE" w:rsidRDefault="00BC5278" w:rsidP="000359FE">
      <w:pPr>
        <w:spacing w:before="0" w:after="0"/>
        <w:ind w:firstLine="851"/>
      </w:pPr>
    </w:p>
    <w:p w:rsidR="00E625B3" w:rsidRDefault="001C78C7" w:rsidP="001C78C7">
      <w:pPr>
        <w:ind w:firstLine="0"/>
      </w:pPr>
      <m:oMathPara>
        <m:oMath>
          <m:r>
            <w:rPr>
              <w:rFonts w:ascii="Cambria Math" w:hAnsi="Cambria Math"/>
              <w:sz w:val="16"/>
            </w:rPr>
            <m:t>TDP=</m:t>
          </m:r>
          <m:f>
            <m:fPr>
              <m:ctrlPr>
                <w:rPr>
                  <w:rFonts w:ascii="Cambria Math" w:hAnsi="Cambria Math"/>
                  <w:i/>
                  <w:sz w:val="16"/>
                </w:rPr>
              </m:ctrlPr>
            </m:fPr>
            <m:num>
              <m:r>
                <w:rPr>
                  <w:rFonts w:ascii="Cambria Math" w:hAnsi="Cambria Math"/>
                  <w:sz w:val="16"/>
                </w:rPr>
                <m:t>TDA×</m:t>
              </m:r>
              <m:d>
                <m:dPr>
                  <m:begChr m:val="{"/>
                  <m:endChr m:val="}"/>
                  <m:ctrlPr>
                    <w:rPr>
                      <w:rFonts w:ascii="Cambria Math" w:hAnsi="Cambria Math"/>
                      <w:i/>
                      <w:sz w:val="16"/>
                    </w:rPr>
                  </m:ctrlPr>
                </m:dPr>
                <m:e>
                  <m:r>
                    <w:rPr>
                      <w:rFonts w:ascii="Cambria Math" w:hAnsi="Cambria Math"/>
                      <w:sz w:val="16"/>
                    </w:rPr>
                    <m:t>1+</m:t>
                  </m:r>
                  <m:d>
                    <m:dPr>
                      <m:begChr m:val="{"/>
                      <m:endChr m:val="}"/>
                      <m:ctrlPr>
                        <w:rPr>
                          <w:rFonts w:ascii="Cambria Math" w:hAnsi="Cambria Math"/>
                          <w:i/>
                          <w:sz w:val="16"/>
                        </w:rPr>
                      </m:ctrlPr>
                    </m:dPr>
                    <m:e>
                      <m:d>
                        <m:dPr>
                          <m:begChr m:val="["/>
                          <m:endChr m:val="]"/>
                          <m:ctrlPr>
                            <w:rPr>
                              <w:rFonts w:ascii="Cambria Math" w:hAnsi="Cambria Math"/>
                              <w:i/>
                              <w:sz w:val="16"/>
                            </w:rPr>
                          </m:ctrlPr>
                        </m:dPr>
                        <m:e>
                          <m:r>
                            <w:rPr>
                              <w:rFonts w:ascii="Cambria Math" w:hAnsi="Cambria Math"/>
                              <w:sz w:val="16"/>
                            </w:rPr>
                            <m:t>1+</m:t>
                          </m:r>
                          <m:d>
                            <m:dPr>
                              <m:ctrlPr>
                                <w:rPr>
                                  <w:rFonts w:ascii="Cambria Math" w:hAnsi="Cambria Math"/>
                                  <w:i/>
                                  <w:sz w:val="16"/>
                                </w:rPr>
                              </m:ctrlPr>
                            </m:dPr>
                            <m:e>
                              <m:f>
                                <m:fPr>
                                  <m:ctrlPr>
                                    <w:rPr>
                                      <w:rFonts w:ascii="Cambria Math" w:hAnsi="Cambria Math"/>
                                      <w:i/>
                                      <w:sz w:val="16"/>
                                    </w:rPr>
                                  </m:ctrlPr>
                                </m:fPr>
                                <m:num>
                                  <m:r>
                                    <w:rPr>
                                      <w:rFonts w:ascii="Cambria Math" w:hAnsi="Cambria Math"/>
                                      <w:sz w:val="16"/>
                                    </w:rPr>
                                    <m:t>PCP-PCA</m:t>
                                  </m:r>
                                </m:num>
                                <m:den>
                                  <m:r>
                                    <w:rPr>
                                      <w:rFonts w:ascii="Cambria Math" w:hAnsi="Cambria Math"/>
                                      <w:sz w:val="16"/>
                                    </w:rPr>
                                    <m:t>PCA</m:t>
                                  </m:r>
                                </m:den>
                              </m:f>
                            </m:e>
                          </m:d>
                          <m:r>
                            <w:rPr>
                              <w:rFonts w:ascii="Cambria Math" w:hAnsi="Cambria Math"/>
                              <w:sz w:val="16"/>
                            </w:rPr>
                            <m:t>×20,98%</m:t>
                          </m:r>
                        </m:e>
                      </m:d>
                      <m:r>
                        <w:rPr>
                          <w:rFonts w:ascii="Cambria Math" w:hAnsi="Cambria Math"/>
                          <w:sz w:val="16"/>
                        </w:rPr>
                        <m:t>+</m:t>
                      </m:r>
                      <m:d>
                        <m:dPr>
                          <m:begChr m:val="["/>
                          <m:endChr m:val="]"/>
                          <m:ctrlPr>
                            <w:rPr>
                              <w:rFonts w:ascii="Cambria Math" w:hAnsi="Cambria Math"/>
                              <w:i/>
                              <w:sz w:val="16"/>
                            </w:rPr>
                          </m:ctrlPr>
                        </m:dPr>
                        <m:e>
                          <m:r>
                            <w:rPr>
                              <w:rFonts w:ascii="Cambria Math" w:hAnsi="Cambria Math"/>
                              <w:sz w:val="16"/>
                            </w:rPr>
                            <m:t>1+</m:t>
                          </m:r>
                          <m:d>
                            <m:dPr>
                              <m:ctrlPr>
                                <w:rPr>
                                  <w:rFonts w:ascii="Cambria Math" w:hAnsi="Cambria Math"/>
                                  <w:i/>
                                  <w:sz w:val="16"/>
                                </w:rPr>
                              </m:ctrlPr>
                            </m:dPr>
                            <m:e>
                              <m:f>
                                <m:fPr>
                                  <m:ctrlPr>
                                    <w:rPr>
                                      <w:rFonts w:ascii="Cambria Math" w:hAnsi="Cambria Math"/>
                                      <w:i/>
                                      <w:sz w:val="16"/>
                                    </w:rPr>
                                  </m:ctrlPr>
                                </m:fPr>
                                <m:num>
                                  <m:r>
                                    <w:rPr>
                                      <w:rFonts w:ascii="Cambria Math" w:hAnsi="Cambria Math"/>
                                      <w:sz w:val="16"/>
                                    </w:rPr>
                                    <m:t>SMP-SmA</m:t>
                                  </m:r>
                                </m:num>
                                <m:den>
                                  <m:r>
                                    <w:rPr>
                                      <w:rFonts w:ascii="Cambria Math" w:hAnsi="Cambria Math"/>
                                      <w:sz w:val="16"/>
                                    </w:rPr>
                                    <m:t>SMA</m:t>
                                  </m:r>
                                </m:den>
                              </m:f>
                            </m:e>
                          </m:d>
                          <m:r>
                            <w:rPr>
                              <w:rFonts w:ascii="Cambria Math" w:hAnsi="Cambria Math"/>
                              <w:sz w:val="16"/>
                            </w:rPr>
                            <m:t>×65,17%</m:t>
                          </m:r>
                        </m:e>
                      </m:d>
                      <m:r>
                        <w:rPr>
                          <w:rFonts w:ascii="Cambria Math" w:hAnsi="Cambria Math"/>
                          <w:sz w:val="16"/>
                        </w:rPr>
                        <m:t>+</m:t>
                      </m:r>
                      <m:d>
                        <m:dPr>
                          <m:begChr m:val="["/>
                          <m:endChr m:val="]"/>
                          <m:ctrlPr>
                            <w:rPr>
                              <w:rFonts w:ascii="Cambria Math" w:hAnsi="Cambria Math"/>
                              <w:i/>
                              <w:sz w:val="16"/>
                            </w:rPr>
                          </m:ctrlPr>
                        </m:dPr>
                        <m:e>
                          <m:r>
                            <w:rPr>
                              <w:rFonts w:ascii="Cambria Math" w:hAnsi="Cambria Math"/>
                              <w:sz w:val="16"/>
                            </w:rPr>
                            <m:t>1+</m:t>
                          </m:r>
                          <m:d>
                            <m:dPr>
                              <m:ctrlPr>
                                <w:rPr>
                                  <w:rFonts w:ascii="Cambria Math" w:hAnsi="Cambria Math"/>
                                  <w:i/>
                                  <w:sz w:val="16"/>
                                </w:rPr>
                              </m:ctrlPr>
                            </m:dPr>
                            <m:e>
                              <m:f>
                                <m:fPr>
                                  <m:ctrlPr>
                                    <w:rPr>
                                      <w:rFonts w:ascii="Cambria Math" w:hAnsi="Cambria Math"/>
                                      <w:i/>
                                      <w:sz w:val="16"/>
                                    </w:rPr>
                                  </m:ctrlPr>
                                </m:fPr>
                                <m:num>
                                  <m:r>
                                    <w:rPr>
                                      <w:rFonts w:ascii="Cambria Math" w:hAnsi="Cambria Math"/>
                                      <w:sz w:val="16"/>
                                    </w:rPr>
                                    <m:t>IVP-IVA</m:t>
                                  </m:r>
                                </m:num>
                                <m:den>
                                  <m:r>
                                    <w:rPr>
                                      <w:rFonts w:ascii="Cambria Math" w:hAnsi="Cambria Math"/>
                                      <w:sz w:val="16"/>
                                    </w:rPr>
                                    <m:t>IVA</m:t>
                                  </m:r>
                                </m:den>
                              </m:f>
                            </m:e>
                          </m:d>
                          <m:r>
                            <w:rPr>
                              <w:rFonts w:ascii="Cambria Math" w:hAnsi="Cambria Math"/>
                              <w:sz w:val="16"/>
                            </w:rPr>
                            <m:t>×13,85%</m:t>
                          </m:r>
                        </m:e>
                      </m:d>
                    </m:e>
                  </m:d>
                </m:e>
              </m:d>
            </m:num>
            <m:den>
              <m:d>
                <m:dPr>
                  <m:ctrlPr>
                    <w:rPr>
                      <w:rFonts w:ascii="Cambria Math" w:hAnsi="Cambria Math"/>
                      <w:i/>
                      <w:sz w:val="16"/>
                    </w:rPr>
                  </m:ctrlPr>
                </m:dPr>
                <m:e>
                  <m:r>
                    <w:rPr>
                      <w:rFonts w:ascii="Cambria Math" w:hAnsi="Cambria Math"/>
                      <w:sz w:val="16"/>
                    </w:rPr>
                    <m:t>1+</m:t>
                  </m:r>
                  <m:d>
                    <m:dPr>
                      <m:ctrlPr>
                        <w:rPr>
                          <w:rFonts w:ascii="Cambria Math" w:hAnsi="Cambria Math"/>
                          <w:i/>
                          <w:sz w:val="16"/>
                        </w:rPr>
                      </m:ctrlPr>
                    </m:dPr>
                    <m:e>
                      <m:f>
                        <m:fPr>
                          <m:ctrlPr>
                            <w:rPr>
                              <w:rFonts w:ascii="Cambria Math" w:hAnsi="Cambria Math"/>
                              <w:i/>
                              <w:sz w:val="16"/>
                            </w:rPr>
                          </m:ctrlPr>
                        </m:fPr>
                        <m:num>
                          <m:r>
                            <w:rPr>
                              <w:rFonts w:ascii="Cambria Math" w:hAnsi="Cambria Math"/>
                              <w:sz w:val="16"/>
                            </w:rPr>
                            <m:t>IPKeP-IPKeA</m:t>
                          </m:r>
                        </m:num>
                        <m:den>
                          <m:r>
                            <w:rPr>
                              <w:rFonts w:ascii="Cambria Math" w:hAnsi="Cambria Math"/>
                              <w:sz w:val="16"/>
                            </w:rPr>
                            <m:t>IPKeA</m:t>
                          </m:r>
                        </m:den>
                      </m:f>
                    </m:e>
                  </m:d>
                </m:e>
              </m:d>
            </m:den>
          </m:f>
        </m:oMath>
      </m:oMathPara>
    </w:p>
    <w:p w:rsidR="00BC5278" w:rsidRDefault="00BC5278" w:rsidP="000359FE">
      <w:pPr>
        <w:spacing w:before="0" w:after="0"/>
        <w:ind w:firstLine="851"/>
      </w:pPr>
    </w:p>
    <w:p w:rsidR="00831912" w:rsidRDefault="007E3F83" w:rsidP="000359FE">
      <w:pPr>
        <w:spacing w:before="0" w:after="0"/>
        <w:ind w:firstLine="851"/>
      </w:pPr>
      <w:r>
        <w:t xml:space="preserve">Desta forma a composição do reajuste da tarifa dependerá da variação dos preços do combustível, do salário dos motoristas, do preço dos veículos e também do passageiro equivalente. </w:t>
      </w:r>
    </w:p>
    <w:p w:rsidR="00E1517F" w:rsidRDefault="007E3F83" w:rsidP="007C1153">
      <w:pPr>
        <w:spacing w:before="0" w:after="0"/>
        <w:ind w:firstLine="851"/>
      </w:pPr>
      <w:r>
        <w:t xml:space="preserve">Uma vez que os preços estabelecidos junto a data base do </w:t>
      </w:r>
      <w:r w:rsidR="00E1517F">
        <w:t>C</w:t>
      </w:r>
      <w:r>
        <w:t xml:space="preserve">ontrato são </w:t>
      </w:r>
      <w:r w:rsidR="0019478B">
        <w:t xml:space="preserve">de </w:t>
      </w:r>
      <w:r>
        <w:t>dezembro de 2016, o reajuste considerará a variação inflacionária ocorrida a partir de dezembro de 2016. Essa premissa se aplica ao caso do preço do combustível e ao</w:t>
      </w:r>
      <w:r w:rsidRPr="007E3F83">
        <w:t xml:space="preserve"> Índice de Veículos Automotores, Reboques, Carrocerias e Autopeças, calculado </w:t>
      </w:r>
      <w:r w:rsidRPr="00D8111F">
        <w:rPr>
          <w:color w:val="000000" w:themeColor="text1"/>
        </w:rPr>
        <w:t xml:space="preserve">pela Fundação Getúlio Vargas – FGV (coluna </w:t>
      </w:r>
      <w:r w:rsidR="0046624D" w:rsidRPr="00D8111F">
        <w:rPr>
          <w:color w:val="000000" w:themeColor="text1"/>
        </w:rPr>
        <w:t>36) do Índice de Preços ao Produtor Amplo –</w:t>
      </w:r>
      <w:r w:rsidR="00E1517F" w:rsidRPr="00D8111F">
        <w:rPr>
          <w:color w:val="000000" w:themeColor="text1"/>
        </w:rPr>
        <w:t xml:space="preserve"> </w:t>
      </w:r>
      <w:r w:rsidR="0046624D" w:rsidRPr="00D8111F">
        <w:rPr>
          <w:color w:val="000000" w:themeColor="text1"/>
        </w:rPr>
        <w:t>Origem (IPA-OG) – Brasil</w:t>
      </w:r>
      <w:r w:rsidR="00E1517F" w:rsidRPr="00D8111F">
        <w:rPr>
          <w:color w:val="000000" w:themeColor="text1"/>
        </w:rPr>
        <w:t>;</w:t>
      </w:r>
      <w:r w:rsidR="0046624D" w:rsidRPr="00D8111F">
        <w:rPr>
          <w:rStyle w:val="Refdenotaderodap"/>
          <w:color w:val="000000" w:themeColor="text1"/>
        </w:rPr>
        <w:t xml:space="preserve"> </w:t>
      </w:r>
      <w:r w:rsidR="0046624D" w:rsidRPr="00D8111F">
        <w:rPr>
          <w:color w:val="000000" w:themeColor="text1"/>
        </w:rPr>
        <w:t xml:space="preserve">o mesmo para o </w:t>
      </w:r>
      <w:r w:rsidR="0019478B" w:rsidRPr="00D8111F">
        <w:rPr>
          <w:color w:val="000000" w:themeColor="text1"/>
        </w:rPr>
        <w:t>salário dos motoristas, que tem</w:t>
      </w:r>
      <w:r w:rsidR="0046624D" w:rsidRPr="00D8111F">
        <w:rPr>
          <w:color w:val="000000" w:themeColor="text1"/>
        </w:rPr>
        <w:t xml:space="preserve"> em novembro </w:t>
      </w:r>
      <w:r w:rsidR="00E1517F" w:rsidRPr="00D8111F">
        <w:rPr>
          <w:color w:val="000000" w:themeColor="text1"/>
        </w:rPr>
        <w:t>o seu</w:t>
      </w:r>
      <w:r w:rsidR="0046624D" w:rsidRPr="00D8111F">
        <w:rPr>
          <w:color w:val="000000" w:themeColor="text1"/>
        </w:rPr>
        <w:t xml:space="preserve"> reajuste salarial. Ao menos a parte referente </w:t>
      </w:r>
      <w:r w:rsidR="00740FB1" w:rsidRPr="00D8111F">
        <w:rPr>
          <w:color w:val="000000" w:themeColor="text1"/>
        </w:rPr>
        <w:t>a inflação ocorrida (</w:t>
      </w:r>
      <w:r w:rsidR="0046624D" w:rsidRPr="00D8111F">
        <w:rPr>
          <w:color w:val="000000" w:themeColor="text1"/>
        </w:rPr>
        <w:t>INPC = 1,83%</w:t>
      </w:r>
      <w:r w:rsidR="00740FB1" w:rsidRPr="00D8111F">
        <w:rPr>
          <w:color w:val="000000" w:themeColor="text1"/>
        </w:rPr>
        <w:t>), visto que encontra-se em processo de diss</w:t>
      </w:r>
      <w:r w:rsidR="008C1975">
        <w:rPr>
          <w:color w:val="000000" w:themeColor="text1"/>
        </w:rPr>
        <w:t>í</w:t>
      </w:r>
      <w:r w:rsidR="00740FB1" w:rsidRPr="00D8111F">
        <w:rPr>
          <w:color w:val="000000" w:themeColor="text1"/>
        </w:rPr>
        <w:t>dio coletivo a atualização salarial dos funcionários da Concessionária</w:t>
      </w:r>
      <w:r w:rsidR="0046624D" w:rsidRPr="00D8111F">
        <w:rPr>
          <w:color w:val="000000" w:themeColor="text1"/>
        </w:rPr>
        <w:t>.</w:t>
      </w:r>
      <w:r w:rsidRPr="00D8111F">
        <w:rPr>
          <w:rStyle w:val="Refdenotaderodap"/>
          <w:color w:val="000000" w:themeColor="text1"/>
        </w:rPr>
        <w:footnoteReference w:id="1"/>
      </w:r>
      <w:r w:rsidRPr="00D8111F">
        <w:rPr>
          <w:color w:val="000000" w:themeColor="text1"/>
        </w:rPr>
        <w:t xml:space="preserve"> Quanto ao IPKeP, </w:t>
      </w:r>
      <w:r w:rsidR="00B679C5" w:rsidRPr="00D8111F">
        <w:rPr>
          <w:color w:val="000000" w:themeColor="text1"/>
        </w:rPr>
        <w:t xml:space="preserve">a ser definido no primeiro reajuste, visto a dubiedade de interpretação causada pelo procedimento contido no </w:t>
      </w:r>
      <w:r w:rsidR="00E1517F" w:rsidRPr="00D8111F">
        <w:rPr>
          <w:color w:val="000000" w:themeColor="text1"/>
        </w:rPr>
        <w:t>C</w:t>
      </w:r>
      <w:r w:rsidR="00B679C5" w:rsidRPr="00D8111F">
        <w:rPr>
          <w:color w:val="000000" w:themeColor="text1"/>
        </w:rPr>
        <w:t xml:space="preserve">ontrato, sugere-se </w:t>
      </w:r>
      <w:r w:rsidR="008657AF" w:rsidRPr="00D8111F">
        <w:rPr>
          <w:color w:val="000000" w:themeColor="text1"/>
        </w:rPr>
        <w:t>uma alternativa</w:t>
      </w:r>
      <w:r w:rsidR="00B679C5" w:rsidRPr="00D8111F">
        <w:rPr>
          <w:color w:val="000000" w:themeColor="text1"/>
        </w:rPr>
        <w:t xml:space="preserve"> para </w:t>
      </w:r>
      <w:r w:rsidR="008657AF" w:rsidRPr="00D8111F">
        <w:rPr>
          <w:color w:val="000000" w:themeColor="text1"/>
        </w:rPr>
        <w:t xml:space="preserve">o </w:t>
      </w:r>
      <w:r w:rsidR="00B679C5" w:rsidRPr="00D8111F">
        <w:rPr>
          <w:color w:val="000000" w:themeColor="text1"/>
        </w:rPr>
        <w:t xml:space="preserve">cálculo </w:t>
      </w:r>
      <w:r w:rsidR="00B679C5">
        <w:t>deste indicador</w:t>
      </w:r>
      <w:r w:rsidR="008657AF">
        <w:t>. A opção é considerar os valores reais apurados pelo SETERB durante o período de novembro de 2016 a outubro de 2017</w:t>
      </w:r>
      <w:r w:rsidR="00B679C5">
        <w:t>. Como pode ser observado na</w:t>
      </w:r>
      <w:r w:rsidR="00E1517F">
        <w:t xml:space="preserve"> Tabela 3 apresentada na sequência</w:t>
      </w:r>
      <w:r w:rsidR="00B679C5">
        <w:t>.</w:t>
      </w:r>
    </w:p>
    <w:p w:rsidR="00B679C5" w:rsidRDefault="00B679C5" w:rsidP="007C1153">
      <w:pPr>
        <w:spacing w:before="0" w:after="0"/>
        <w:ind w:firstLine="851"/>
      </w:pPr>
    </w:p>
    <w:p w:rsidR="00E63455" w:rsidRPr="00063973" w:rsidRDefault="00E63455" w:rsidP="000359FE">
      <w:pPr>
        <w:pStyle w:val="Legenda"/>
        <w:spacing w:after="0"/>
        <w:ind w:firstLine="0"/>
        <w:rPr>
          <w:b/>
          <w:i w:val="0"/>
          <w:iCs w:val="0"/>
          <w:color w:val="auto"/>
          <w:sz w:val="24"/>
          <w:szCs w:val="24"/>
        </w:rPr>
      </w:pPr>
      <w:bookmarkStart w:id="10" w:name="_Ref499316356"/>
      <w:r w:rsidRPr="00063973">
        <w:rPr>
          <w:b/>
          <w:i w:val="0"/>
          <w:iCs w:val="0"/>
          <w:color w:val="auto"/>
          <w:sz w:val="24"/>
          <w:szCs w:val="24"/>
        </w:rPr>
        <w:t xml:space="preserve">Tabela </w:t>
      </w:r>
      <w:r w:rsidR="0014079C" w:rsidRPr="00063973">
        <w:rPr>
          <w:b/>
          <w:i w:val="0"/>
          <w:iCs w:val="0"/>
          <w:color w:val="auto"/>
          <w:sz w:val="24"/>
          <w:szCs w:val="24"/>
        </w:rPr>
        <w:fldChar w:fldCharType="begin"/>
      </w:r>
      <w:r w:rsidRPr="00063973">
        <w:rPr>
          <w:b/>
          <w:i w:val="0"/>
          <w:iCs w:val="0"/>
          <w:color w:val="auto"/>
          <w:sz w:val="24"/>
          <w:szCs w:val="24"/>
        </w:rPr>
        <w:instrText xml:space="preserve"> SEQ Tabela \* ARABIC </w:instrText>
      </w:r>
      <w:r w:rsidR="0014079C" w:rsidRPr="00063973">
        <w:rPr>
          <w:b/>
          <w:i w:val="0"/>
          <w:iCs w:val="0"/>
          <w:color w:val="auto"/>
          <w:sz w:val="24"/>
          <w:szCs w:val="24"/>
        </w:rPr>
        <w:fldChar w:fldCharType="separate"/>
      </w:r>
      <w:r w:rsidR="00E02CAD">
        <w:rPr>
          <w:b/>
          <w:i w:val="0"/>
          <w:iCs w:val="0"/>
          <w:noProof/>
          <w:color w:val="auto"/>
          <w:sz w:val="24"/>
          <w:szCs w:val="24"/>
        </w:rPr>
        <w:t>3</w:t>
      </w:r>
      <w:r w:rsidR="0014079C" w:rsidRPr="00063973">
        <w:rPr>
          <w:b/>
          <w:i w:val="0"/>
          <w:iCs w:val="0"/>
          <w:color w:val="auto"/>
          <w:sz w:val="24"/>
          <w:szCs w:val="24"/>
        </w:rPr>
        <w:fldChar w:fldCharType="end"/>
      </w:r>
      <w:bookmarkEnd w:id="10"/>
      <w:r w:rsidRPr="00063973">
        <w:rPr>
          <w:b/>
          <w:i w:val="0"/>
          <w:iCs w:val="0"/>
          <w:color w:val="auto"/>
          <w:sz w:val="24"/>
          <w:szCs w:val="24"/>
        </w:rPr>
        <w:t>:Índice de Passageiro por Quilômetro equivalente Posterior (base de dados do SETERB).</w:t>
      </w:r>
    </w:p>
    <w:tbl>
      <w:tblPr>
        <w:tblStyle w:val="TabeladeGrade4-nfase51"/>
        <w:tblW w:w="5000" w:type="pct"/>
        <w:tblLook w:val="04A0" w:firstRow="1" w:lastRow="0" w:firstColumn="1" w:lastColumn="0" w:noHBand="0" w:noVBand="1"/>
      </w:tblPr>
      <w:tblGrid>
        <w:gridCol w:w="4790"/>
        <w:gridCol w:w="4497"/>
      </w:tblGrid>
      <w:tr w:rsidR="008657AF" w:rsidRPr="00D20A58" w:rsidTr="000359FE">
        <w:trPr>
          <w:cnfStyle w:val="100000000000" w:firstRow="1" w:lastRow="0" w:firstColumn="0" w:lastColumn="0" w:oddVBand="0" w:evenVBand="0" w:oddHBand="0"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5000" w:type="pct"/>
            <w:gridSpan w:val="2"/>
            <w:noWrap/>
            <w:vAlign w:val="center"/>
            <w:hideMark/>
          </w:tcPr>
          <w:p w:rsidR="008657AF" w:rsidRPr="000359FE" w:rsidRDefault="008657AF" w:rsidP="006138E5">
            <w:pPr>
              <w:spacing w:before="0" w:after="0" w:line="240" w:lineRule="auto"/>
              <w:ind w:firstLine="0"/>
              <w:jc w:val="center"/>
              <w:rPr>
                <w:color w:val="000000"/>
                <w:szCs w:val="20"/>
              </w:rPr>
            </w:pPr>
            <w:r w:rsidRPr="000359FE">
              <w:rPr>
                <w:color w:val="000000"/>
                <w:szCs w:val="20"/>
              </w:rPr>
              <w:lastRenderedPageBreak/>
              <w:t>IPKeP</w:t>
            </w:r>
            <w:r w:rsidRPr="00887801">
              <w:rPr>
                <w:color w:val="000000"/>
                <w:szCs w:val="20"/>
              </w:rPr>
              <w:t xml:space="preserve"> (</w:t>
            </w:r>
            <w:r w:rsidRPr="00A24C51">
              <w:rPr>
                <w:color w:val="000000"/>
                <w:szCs w:val="20"/>
              </w:rPr>
              <w:t>base nos dados reais coletados pelo SETERB)</w:t>
            </w:r>
          </w:p>
        </w:tc>
      </w:tr>
      <w:tr w:rsidR="008657AF" w:rsidRPr="00D20A58" w:rsidTr="000359FE">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5000" w:type="pct"/>
            <w:gridSpan w:val="2"/>
            <w:vMerge w:val="restart"/>
            <w:noWrap/>
            <w:vAlign w:val="center"/>
            <w:hideMark/>
          </w:tcPr>
          <w:p w:rsidR="008657AF" w:rsidRPr="000359FE" w:rsidRDefault="008657AF" w:rsidP="006138E5">
            <w:pPr>
              <w:spacing w:before="0" w:after="0" w:line="240" w:lineRule="auto"/>
              <w:ind w:firstLine="0"/>
              <w:jc w:val="center"/>
              <w:rPr>
                <w:color w:val="000000"/>
                <w:sz w:val="20"/>
                <w:szCs w:val="20"/>
              </w:rPr>
            </w:pPr>
            <w:r w:rsidRPr="000359FE">
              <w:rPr>
                <w:color w:val="000000"/>
                <w:sz w:val="20"/>
                <w:szCs w:val="20"/>
              </w:rPr>
              <w:t>Dados reais desde nov/2016 - out/2017</w:t>
            </w:r>
          </w:p>
        </w:tc>
      </w:tr>
      <w:tr w:rsidR="008657AF" w:rsidRPr="00D20A58" w:rsidTr="000359FE">
        <w:trPr>
          <w:trHeight w:val="276"/>
        </w:trPr>
        <w:tc>
          <w:tcPr>
            <w:cnfStyle w:val="001000000000" w:firstRow="0" w:lastRow="0" w:firstColumn="1" w:lastColumn="0" w:oddVBand="0" w:evenVBand="0" w:oddHBand="0" w:evenHBand="0" w:firstRowFirstColumn="0" w:firstRowLastColumn="0" w:lastRowFirstColumn="0" w:lastRowLastColumn="0"/>
            <w:tcW w:w="5000" w:type="pct"/>
            <w:gridSpan w:val="2"/>
            <w:vMerge/>
            <w:hideMark/>
          </w:tcPr>
          <w:p w:rsidR="008657AF" w:rsidRPr="000359FE" w:rsidRDefault="008657AF" w:rsidP="00B679C5">
            <w:pPr>
              <w:spacing w:before="0" w:after="0" w:line="240" w:lineRule="auto"/>
              <w:ind w:firstLine="0"/>
              <w:jc w:val="left"/>
              <w:rPr>
                <w:color w:val="000000"/>
                <w:sz w:val="20"/>
                <w:szCs w:val="20"/>
              </w:rPr>
            </w:pPr>
          </w:p>
        </w:tc>
      </w:tr>
      <w:tr w:rsidR="008657AF" w:rsidRPr="00D20A58" w:rsidTr="000359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9" w:type="pct"/>
            <w:noWrap/>
            <w:hideMark/>
          </w:tcPr>
          <w:p w:rsidR="008657AF" w:rsidRPr="000359FE" w:rsidRDefault="008657AF" w:rsidP="000359FE">
            <w:pPr>
              <w:spacing w:before="0" w:after="0" w:line="240" w:lineRule="auto"/>
              <w:ind w:firstLine="0"/>
              <w:jc w:val="center"/>
              <w:rPr>
                <w:color w:val="000000"/>
                <w:sz w:val="20"/>
                <w:szCs w:val="20"/>
              </w:rPr>
            </w:pPr>
            <w:r w:rsidRPr="000359FE">
              <w:rPr>
                <w:color w:val="000000"/>
                <w:sz w:val="20"/>
                <w:szCs w:val="20"/>
              </w:rPr>
              <w:t xml:space="preserve">Km </w:t>
            </w:r>
            <w:r w:rsidR="00D20A58" w:rsidRPr="000359FE">
              <w:rPr>
                <w:color w:val="000000"/>
                <w:sz w:val="20"/>
                <w:szCs w:val="20"/>
              </w:rPr>
              <w:t>Percorrido (</w:t>
            </w:r>
            <w:r w:rsidRPr="000359FE">
              <w:rPr>
                <w:color w:val="000000"/>
                <w:sz w:val="20"/>
                <w:szCs w:val="20"/>
              </w:rPr>
              <w:t>SETERB</w:t>
            </w:r>
            <w:r w:rsidR="00D20A58" w:rsidRPr="000359FE">
              <w:rPr>
                <w:color w:val="000000"/>
                <w:sz w:val="20"/>
                <w:szCs w:val="20"/>
              </w:rPr>
              <w:t>)</w:t>
            </w:r>
          </w:p>
        </w:tc>
        <w:tc>
          <w:tcPr>
            <w:tcW w:w="2421" w:type="pct"/>
            <w:noWrap/>
            <w:hideMark/>
          </w:tcPr>
          <w:p w:rsidR="008657AF" w:rsidRPr="000359FE" w:rsidRDefault="008657AF" w:rsidP="00B679C5">
            <w:pPr>
              <w:spacing w:before="0" w:after="0" w:line="240" w:lineRule="auto"/>
              <w:ind w:firstLine="0"/>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0359FE">
              <w:rPr>
                <w:color w:val="000000"/>
                <w:sz w:val="20"/>
                <w:szCs w:val="20"/>
              </w:rPr>
              <w:t>16.003.189</w:t>
            </w:r>
          </w:p>
        </w:tc>
      </w:tr>
      <w:tr w:rsidR="008657AF" w:rsidRPr="00D20A58" w:rsidTr="000359FE">
        <w:trPr>
          <w:trHeight w:val="300"/>
        </w:trPr>
        <w:tc>
          <w:tcPr>
            <w:cnfStyle w:val="001000000000" w:firstRow="0" w:lastRow="0" w:firstColumn="1" w:lastColumn="0" w:oddVBand="0" w:evenVBand="0" w:oddHBand="0" w:evenHBand="0" w:firstRowFirstColumn="0" w:firstRowLastColumn="0" w:lastRowFirstColumn="0" w:lastRowLastColumn="0"/>
            <w:tcW w:w="2579" w:type="pct"/>
            <w:noWrap/>
            <w:hideMark/>
          </w:tcPr>
          <w:p w:rsidR="008657AF" w:rsidRPr="000359FE" w:rsidRDefault="008657AF" w:rsidP="000359FE">
            <w:pPr>
              <w:spacing w:before="0" w:after="0" w:line="240" w:lineRule="auto"/>
              <w:ind w:firstLine="0"/>
              <w:jc w:val="center"/>
              <w:rPr>
                <w:color w:val="000000"/>
                <w:sz w:val="20"/>
                <w:szCs w:val="20"/>
              </w:rPr>
            </w:pPr>
            <w:r w:rsidRPr="000359FE">
              <w:rPr>
                <w:color w:val="000000"/>
                <w:sz w:val="20"/>
                <w:szCs w:val="20"/>
              </w:rPr>
              <w:t>IPE</w:t>
            </w:r>
            <w:r w:rsidR="00D20A58" w:rsidRPr="000359FE">
              <w:rPr>
                <w:color w:val="000000"/>
                <w:sz w:val="20"/>
                <w:szCs w:val="20"/>
              </w:rPr>
              <w:t xml:space="preserve"> (SETERB)</w:t>
            </w:r>
          </w:p>
        </w:tc>
        <w:tc>
          <w:tcPr>
            <w:tcW w:w="2421" w:type="pct"/>
            <w:noWrap/>
            <w:hideMark/>
          </w:tcPr>
          <w:p w:rsidR="008657AF" w:rsidRPr="000359FE" w:rsidRDefault="008657AF" w:rsidP="00B679C5">
            <w:pPr>
              <w:spacing w:before="0" w:after="0" w:line="240" w:lineRule="auto"/>
              <w:ind w:firstLine="0"/>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0359FE">
              <w:rPr>
                <w:color w:val="000000"/>
                <w:sz w:val="20"/>
                <w:szCs w:val="20"/>
              </w:rPr>
              <w:t>23.124.650</w:t>
            </w:r>
          </w:p>
        </w:tc>
      </w:tr>
      <w:tr w:rsidR="008657AF" w:rsidRPr="00D20A58" w:rsidTr="000359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79" w:type="pct"/>
            <w:noWrap/>
            <w:hideMark/>
          </w:tcPr>
          <w:p w:rsidR="008657AF" w:rsidRPr="000359FE" w:rsidRDefault="008657AF" w:rsidP="000359FE">
            <w:pPr>
              <w:spacing w:before="0" w:after="0" w:line="240" w:lineRule="auto"/>
              <w:ind w:firstLine="0"/>
              <w:jc w:val="center"/>
              <w:rPr>
                <w:color w:val="000000"/>
                <w:sz w:val="20"/>
                <w:szCs w:val="20"/>
              </w:rPr>
            </w:pPr>
            <w:r w:rsidRPr="000359FE">
              <w:rPr>
                <w:color w:val="000000"/>
                <w:sz w:val="20"/>
                <w:szCs w:val="20"/>
              </w:rPr>
              <w:t>IPKeP</w:t>
            </w:r>
          </w:p>
        </w:tc>
        <w:tc>
          <w:tcPr>
            <w:tcW w:w="2421" w:type="pct"/>
            <w:noWrap/>
            <w:hideMark/>
          </w:tcPr>
          <w:p w:rsidR="008657AF" w:rsidRPr="000359FE" w:rsidRDefault="008657AF" w:rsidP="00B679C5">
            <w:pPr>
              <w:spacing w:before="0" w:after="0" w:line="240" w:lineRule="auto"/>
              <w:ind w:firstLine="0"/>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0359FE">
              <w:rPr>
                <w:color w:val="000000"/>
                <w:sz w:val="20"/>
                <w:szCs w:val="20"/>
              </w:rPr>
              <w:t>1,445002618</w:t>
            </w:r>
          </w:p>
        </w:tc>
      </w:tr>
    </w:tbl>
    <w:p w:rsidR="00E63455" w:rsidRPr="00CC1E75" w:rsidRDefault="00E63455" w:rsidP="00153DBA">
      <w:pPr>
        <w:spacing w:before="0" w:after="0" w:line="240" w:lineRule="auto"/>
        <w:ind w:firstLine="0"/>
        <w:rPr>
          <w:sz w:val="20"/>
        </w:rPr>
      </w:pPr>
      <w:r>
        <w:rPr>
          <w:sz w:val="20"/>
        </w:rPr>
        <w:t>Fonte: AGIR</w:t>
      </w:r>
      <w:r w:rsidR="00E1517F">
        <w:rPr>
          <w:sz w:val="20"/>
        </w:rPr>
        <w:t xml:space="preserve"> (2017).</w:t>
      </w:r>
    </w:p>
    <w:p w:rsidR="00E1517F" w:rsidRDefault="00E1517F" w:rsidP="00153DBA">
      <w:pPr>
        <w:spacing w:before="0" w:after="0"/>
        <w:ind w:firstLine="851"/>
      </w:pPr>
    </w:p>
    <w:p w:rsidR="008657AF" w:rsidRDefault="00D20A58" w:rsidP="00E1517F">
      <w:pPr>
        <w:spacing w:before="0" w:after="0"/>
        <w:ind w:firstLine="851"/>
      </w:pPr>
      <w:r>
        <w:t xml:space="preserve">Os demais valores utilizados para calcular o reajuste desta tarifa, foram definidos com base nas informações disponíveis no site da ANP, nas publicações da Revista Conjuntura Econômica, no reajuste do salário dos motoristas (com base no INPC de 1,83%) e </w:t>
      </w:r>
      <w:r w:rsidR="009B0972">
        <w:t>com as</w:t>
      </w:r>
      <w:r>
        <w:t xml:space="preserve"> informações disponibilizadas pelo SETE</w:t>
      </w:r>
      <w:r w:rsidR="00423D61">
        <w:t>RB, para calcular o IPKeP efetiv</w:t>
      </w:r>
      <w:r>
        <w:t>o de doze meses</w:t>
      </w:r>
      <w:r w:rsidR="00423D61">
        <w:t xml:space="preserve"> (novembro de 2016 a outubro 2017), como pode ser observado na</w:t>
      </w:r>
      <w:r w:rsidR="009B707B">
        <w:t xml:space="preserve"> Tabela 4.</w:t>
      </w:r>
    </w:p>
    <w:p w:rsidR="00E1517F" w:rsidRDefault="00E1517F" w:rsidP="000359FE">
      <w:pPr>
        <w:spacing w:before="0" w:after="0"/>
        <w:ind w:firstLine="851"/>
      </w:pPr>
    </w:p>
    <w:p w:rsidR="00E63455" w:rsidRPr="00AB2C12" w:rsidRDefault="00E63455" w:rsidP="000359FE">
      <w:pPr>
        <w:pStyle w:val="Legenda"/>
        <w:spacing w:after="0"/>
        <w:ind w:firstLine="0"/>
        <w:rPr>
          <w:b/>
          <w:i w:val="0"/>
          <w:iCs w:val="0"/>
          <w:color w:val="auto"/>
          <w:sz w:val="24"/>
          <w:szCs w:val="24"/>
        </w:rPr>
      </w:pPr>
      <w:bookmarkStart w:id="11" w:name="_Ref499316420"/>
      <w:r w:rsidRPr="00AB2C12">
        <w:rPr>
          <w:b/>
          <w:i w:val="0"/>
          <w:iCs w:val="0"/>
          <w:color w:val="auto"/>
          <w:sz w:val="24"/>
          <w:szCs w:val="24"/>
        </w:rPr>
        <w:t xml:space="preserve">Tabela </w:t>
      </w:r>
      <w:r w:rsidR="0014079C" w:rsidRPr="00AB2C12">
        <w:rPr>
          <w:b/>
          <w:i w:val="0"/>
          <w:iCs w:val="0"/>
          <w:color w:val="auto"/>
          <w:sz w:val="24"/>
          <w:szCs w:val="24"/>
        </w:rPr>
        <w:fldChar w:fldCharType="begin"/>
      </w:r>
      <w:r w:rsidRPr="00AB2C12">
        <w:rPr>
          <w:b/>
          <w:i w:val="0"/>
          <w:iCs w:val="0"/>
          <w:color w:val="auto"/>
          <w:sz w:val="24"/>
          <w:szCs w:val="24"/>
        </w:rPr>
        <w:instrText xml:space="preserve"> SEQ Tabela \* ARABIC </w:instrText>
      </w:r>
      <w:r w:rsidR="0014079C" w:rsidRPr="00AB2C12">
        <w:rPr>
          <w:b/>
          <w:i w:val="0"/>
          <w:iCs w:val="0"/>
          <w:color w:val="auto"/>
          <w:sz w:val="24"/>
          <w:szCs w:val="24"/>
        </w:rPr>
        <w:fldChar w:fldCharType="separate"/>
      </w:r>
      <w:r w:rsidR="00E02CAD">
        <w:rPr>
          <w:b/>
          <w:i w:val="0"/>
          <w:iCs w:val="0"/>
          <w:noProof/>
          <w:color w:val="auto"/>
          <w:sz w:val="24"/>
          <w:szCs w:val="24"/>
        </w:rPr>
        <w:t>4</w:t>
      </w:r>
      <w:r w:rsidR="0014079C" w:rsidRPr="00AB2C12">
        <w:rPr>
          <w:b/>
          <w:i w:val="0"/>
          <w:iCs w:val="0"/>
          <w:color w:val="auto"/>
          <w:sz w:val="24"/>
          <w:szCs w:val="24"/>
        </w:rPr>
        <w:fldChar w:fldCharType="end"/>
      </w:r>
      <w:bookmarkEnd w:id="11"/>
      <w:r w:rsidRPr="00AB2C12">
        <w:rPr>
          <w:b/>
          <w:i w:val="0"/>
          <w:iCs w:val="0"/>
          <w:color w:val="auto"/>
          <w:sz w:val="24"/>
          <w:szCs w:val="24"/>
        </w:rPr>
        <w:t>: Variáveis utilizadas para cálculo da tarifa reajustada.</w:t>
      </w:r>
    </w:p>
    <w:tbl>
      <w:tblPr>
        <w:tblStyle w:val="TabeladeGrade4-nfase51"/>
        <w:tblW w:w="5000" w:type="pct"/>
        <w:tblLook w:val="04A0" w:firstRow="1" w:lastRow="0" w:firstColumn="1" w:lastColumn="0" w:noHBand="0" w:noVBand="1"/>
      </w:tblPr>
      <w:tblGrid>
        <w:gridCol w:w="3161"/>
        <w:gridCol w:w="3063"/>
        <w:gridCol w:w="3063"/>
      </w:tblGrid>
      <w:tr w:rsidR="00D20A58" w:rsidRPr="00D20A58" w:rsidTr="000359F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0359FE">
            <w:pPr>
              <w:spacing w:before="0" w:after="0" w:line="240" w:lineRule="auto"/>
              <w:ind w:firstLine="0"/>
              <w:jc w:val="center"/>
              <w:rPr>
                <w:color w:val="000000"/>
                <w:sz w:val="20"/>
                <w:szCs w:val="20"/>
              </w:rPr>
            </w:pPr>
            <w:r w:rsidRPr="000359FE">
              <w:rPr>
                <w:color w:val="000000"/>
                <w:sz w:val="20"/>
                <w:szCs w:val="20"/>
              </w:rPr>
              <w:t>Variáveis</w:t>
            </w:r>
          </w:p>
        </w:tc>
        <w:tc>
          <w:tcPr>
            <w:tcW w:w="1649" w:type="pct"/>
          </w:tcPr>
          <w:p w:rsidR="00D20A58" w:rsidRPr="00D20A58" w:rsidRDefault="00D20A58" w:rsidP="006138E5">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b w:val="0"/>
                <w:color w:val="000000"/>
                <w:sz w:val="20"/>
                <w:szCs w:val="20"/>
              </w:rPr>
            </w:pPr>
            <w:r>
              <w:rPr>
                <w:color w:val="000000"/>
                <w:sz w:val="20"/>
                <w:szCs w:val="20"/>
              </w:rPr>
              <w:t>Data</w:t>
            </w:r>
          </w:p>
        </w:tc>
        <w:tc>
          <w:tcPr>
            <w:tcW w:w="1649" w:type="pct"/>
            <w:noWrap/>
            <w:hideMark/>
          </w:tcPr>
          <w:p w:rsidR="00D20A58" w:rsidRPr="000359FE" w:rsidRDefault="00CA5576" w:rsidP="000359FE">
            <w:pPr>
              <w:spacing w:before="0" w:after="0" w:line="240" w:lineRule="auto"/>
              <w:ind w:firstLine="0"/>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IPKeP </w:t>
            </w:r>
          </w:p>
        </w:tc>
      </w:tr>
      <w:tr w:rsidR="00D20A58" w:rsidRPr="00D20A58" w:rsidTr="000359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8657AF">
            <w:pPr>
              <w:spacing w:before="0" w:after="0" w:line="240" w:lineRule="auto"/>
              <w:ind w:firstLine="0"/>
              <w:jc w:val="left"/>
              <w:rPr>
                <w:color w:val="000000"/>
                <w:sz w:val="20"/>
                <w:szCs w:val="20"/>
              </w:rPr>
            </w:pPr>
            <w:r w:rsidRPr="000359FE">
              <w:rPr>
                <w:color w:val="000000"/>
                <w:sz w:val="20"/>
                <w:szCs w:val="20"/>
              </w:rPr>
              <w:t>PCA</w:t>
            </w:r>
          </w:p>
        </w:tc>
        <w:tc>
          <w:tcPr>
            <w:tcW w:w="1649" w:type="pct"/>
          </w:tcPr>
          <w:p w:rsidR="00D20A58" w:rsidRPr="00D20A58" w:rsidRDefault="00D20A58" w:rsidP="000359FE">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Dez/2016</w:t>
            </w:r>
          </w:p>
        </w:tc>
        <w:tc>
          <w:tcPr>
            <w:tcW w:w="1649" w:type="pct"/>
            <w:noWrap/>
            <w:hideMark/>
          </w:tcPr>
          <w:p w:rsidR="00D20A58" w:rsidRPr="000359FE" w:rsidRDefault="00D20A58" w:rsidP="008657AF">
            <w:pPr>
              <w:spacing w:before="0" w:after="0" w:line="240" w:lineRule="auto"/>
              <w:ind w:firstLine="0"/>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0359FE">
              <w:rPr>
                <w:color w:val="000000"/>
                <w:sz w:val="20"/>
                <w:szCs w:val="20"/>
              </w:rPr>
              <w:t>3,066</w:t>
            </w:r>
          </w:p>
        </w:tc>
      </w:tr>
      <w:tr w:rsidR="00D20A58" w:rsidRPr="00D20A58" w:rsidTr="000359FE">
        <w:trPr>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8657AF">
            <w:pPr>
              <w:spacing w:before="0" w:after="0" w:line="240" w:lineRule="auto"/>
              <w:ind w:firstLine="0"/>
              <w:jc w:val="left"/>
              <w:rPr>
                <w:color w:val="000000"/>
                <w:sz w:val="20"/>
                <w:szCs w:val="20"/>
              </w:rPr>
            </w:pPr>
            <w:r w:rsidRPr="000359FE">
              <w:rPr>
                <w:color w:val="000000"/>
                <w:sz w:val="20"/>
                <w:szCs w:val="20"/>
              </w:rPr>
              <w:t>PCP</w:t>
            </w:r>
          </w:p>
        </w:tc>
        <w:tc>
          <w:tcPr>
            <w:tcW w:w="1649" w:type="pct"/>
          </w:tcPr>
          <w:p w:rsidR="00D20A58" w:rsidRPr="00D20A58" w:rsidRDefault="0032289D" w:rsidP="000359FE">
            <w:pPr>
              <w:spacing w:before="0" w:after="0" w:line="240" w:lineRule="auto"/>
              <w:ind w:firstLine="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Out/2017</w:t>
            </w:r>
          </w:p>
        </w:tc>
        <w:tc>
          <w:tcPr>
            <w:tcW w:w="1649" w:type="pct"/>
            <w:noWrap/>
            <w:hideMark/>
          </w:tcPr>
          <w:p w:rsidR="00D20A58" w:rsidRPr="000359FE" w:rsidRDefault="00D20A58" w:rsidP="008657AF">
            <w:pPr>
              <w:spacing w:before="0" w:after="0" w:line="240" w:lineRule="auto"/>
              <w:ind w:firstLine="0"/>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0359FE">
              <w:rPr>
                <w:color w:val="000000"/>
                <w:sz w:val="20"/>
                <w:szCs w:val="20"/>
              </w:rPr>
              <w:t>3,215</w:t>
            </w:r>
          </w:p>
        </w:tc>
      </w:tr>
      <w:tr w:rsidR="00D20A58" w:rsidRPr="00D20A58" w:rsidTr="000359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8657AF">
            <w:pPr>
              <w:spacing w:before="0" w:after="0" w:line="240" w:lineRule="auto"/>
              <w:ind w:firstLine="0"/>
              <w:jc w:val="left"/>
              <w:rPr>
                <w:color w:val="000000"/>
                <w:sz w:val="20"/>
                <w:szCs w:val="20"/>
              </w:rPr>
            </w:pPr>
            <w:r w:rsidRPr="000359FE">
              <w:rPr>
                <w:color w:val="000000"/>
                <w:sz w:val="20"/>
                <w:szCs w:val="20"/>
              </w:rPr>
              <w:t>SMA</w:t>
            </w:r>
          </w:p>
        </w:tc>
        <w:tc>
          <w:tcPr>
            <w:tcW w:w="1649" w:type="pct"/>
          </w:tcPr>
          <w:p w:rsidR="00D20A58" w:rsidRPr="00D20A58" w:rsidRDefault="00D20A58" w:rsidP="000359FE">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Dez/2016</w:t>
            </w:r>
          </w:p>
        </w:tc>
        <w:tc>
          <w:tcPr>
            <w:tcW w:w="1649" w:type="pct"/>
            <w:noWrap/>
            <w:hideMark/>
          </w:tcPr>
          <w:p w:rsidR="00D20A58" w:rsidRPr="000359FE" w:rsidRDefault="00D20A58" w:rsidP="008657AF">
            <w:pPr>
              <w:spacing w:before="0" w:after="0" w:line="240" w:lineRule="auto"/>
              <w:ind w:firstLine="0"/>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0359FE">
              <w:rPr>
                <w:color w:val="000000"/>
                <w:sz w:val="20"/>
                <w:szCs w:val="20"/>
              </w:rPr>
              <w:t>1.276,58</w:t>
            </w:r>
          </w:p>
        </w:tc>
      </w:tr>
      <w:tr w:rsidR="00D20A58" w:rsidRPr="00D20A58" w:rsidTr="000359FE">
        <w:trPr>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8657AF">
            <w:pPr>
              <w:spacing w:before="0" w:after="0" w:line="240" w:lineRule="auto"/>
              <w:ind w:firstLine="0"/>
              <w:jc w:val="left"/>
              <w:rPr>
                <w:color w:val="000000"/>
                <w:sz w:val="20"/>
                <w:szCs w:val="20"/>
              </w:rPr>
            </w:pPr>
            <w:r w:rsidRPr="000359FE">
              <w:rPr>
                <w:color w:val="000000"/>
                <w:sz w:val="20"/>
                <w:szCs w:val="20"/>
              </w:rPr>
              <w:t>SMP</w:t>
            </w:r>
          </w:p>
        </w:tc>
        <w:tc>
          <w:tcPr>
            <w:tcW w:w="1649" w:type="pct"/>
          </w:tcPr>
          <w:p w:rsidR="00D20A58" w:rsidRPr="00D20A58" w:rsidRDefault="0032289D" w:rsidP="000359FE">
            <w:pPr>
              <w:spacing w:before="0" w:after="0" w:line="240" w:lineRule="auto"/>
              <w:ind w:firstLine="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Nov/2017</w:t>
            </w:r>
          </w:p>
        </w:tc>
        <w:tc>
          <w:tcPr>
            <w:tcW w:w="1649" w:type="pct"/>
            <w:noWrap/>
            <w:hideMark/>
          </w:tcPr>
          <w:p w:rsidR="00D20A58" w:rsidRPr="000359FE" w:rsidRDefault="00D20A58" w:rsidP="008657AF">
            <w:pPr>
              <w:spacing w:before="0" w:after="0" w:line="240" w:lineRule="auto"/>
              <w:ind w:firstLine="0"/>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0359FE">
              <w:rPr>
                <w:color w:val="000000"/>
                <w:sz w:val="20"/>
                <w:szCs w:val="20"/>
              </w:rPr>
              <w:t>1.299,98</w:t>
            </w:r>
          </w:p>
        </w:tc>
      </w:tr>
      <w:tr w:rsidR="00D20A58" w:rsidRPr="00D20A58" w:rsidTr="000359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8657AF">
            <w:pPr>
              <w:spacing w:before="0" w:after="0" w:line="240" w:lineRule="auto"/>
              <w:ind w:firstLine="0"/>
              <w:jc w:val="left"/>
              <w:rPr>
                <w:color w:val="000000"/>
                <w:sz w:val="20"/>
                <w:szCs w:val="20"/>
              </w:rPr>
            </w:pPr>
            <w:r w:rsidRPr="000359FE">
              <w:rPr>
                <w:color w:val="000000"/>
                <w:sz w:val="20"/>
                <w:szCs w:val="20"/>
              </w:rPr>
              <w:t>IVA</w:t>
            </w:r>
          </w:p>
        </w:tc>
        <w:tc>
          <w:tcPr>
            <w:tcW w:w="1649" w:type="pct"/>
          </w:tcPr>
          <w:p w:rsidR="00D20A58" w:rsidRPr="00D20A58" w:rsidRDefault="00D20A58" w:rsidP="000359FE">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Dez/2016</w:t>
            </w:r>
          </w:p>
        </w:tc>
        <w:tc>
          <w:tcPr>
            <w:tcW w:w="1649" w:type="pct"/>
            <w:noWrap/>
            <w:hideMark/>
          </w:tcPr>
          <w:p w:rsidR="00D20A58" w:rsidRPr="000359FE" w:rsidRDefault="00D20A58" w:rsidP="008657AF">
            <w:pPr>
              <w:spacing w:before="0" w:after="0" w:line="240" w:lineRule="auto"/>
              <w:ind w:firstLine="0"/>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0359FE">
              <w:rPr>
                <w:color w:val="000000"/>
                <w:sz w:val="20"/>
                <w:szCs w:val="20"/>
              </w:rPr>
              <w:t>126,579</w:t>
            </w:r>
          </w:p>
        </w:tc>
      </w:tr>
      <w:tr w:rsidR="00D20A58" w:rsidRPr="00D20A58" w:rsidTr="000359FE">
        <w:trPr>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8657AF">
            <w:pPr>
              <w:spacing w:before="0" w:after="0" w:line="240" w:lineRule="auto"/>
              <w:ind w:firstLine="0"/>
              <w:jc w:val="left"/>
              <w:rPr>
                <w:color w:val="000000"/>
                <w:sz w:val="20"/>
                <w:szCs w:val="20"/>
              </w:rPr>
            </w:pPr>
            <w:r w:rsidRPr="000359FE">
              <w:rPr>
                <w:color w:val="000000"/>
                <w:sz w:val="20"/>
                <w:szCs w:val="20"/>
              </w:rPr>
              <w:t>IVP</w:t>
            </w:r>
          </w:p>
        </w:tc>
        <w:tc>
          <w:tcPr>
            <w:tcW w:w="1649" w:type="pct"/>
          </w:tcPr>
          <w:p w:rsidR="00D20A58" w:rsidRPr="00D20A58" w:rsidRDefault="0032289D" w:rsidP="000359FE">
            <w:pPr>
              <w:spacing w:before="0" w:after="0" w:line="240" w:lineRule="auto"/>
              <w:ind w:firstLine="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Set/2017</w:t>
            </w:r>
          </w:p>
        </w:tc>
        <w:tc>
          <w:tcPr>
            <w:tcW w:w="1649" w:type="pct"/>
            <w:noWrap/>
            <w:hideMark/>
          </w:tcPr>
          <w:p w:rsidR="00D20A58" w:rsidRPr="000359FE" w:rsidRDefault="00D20A58" w:rsidP="008657AF">
            <w:pPr>
              <w:spacing w:before="0" w:after="0" w:line="240" w:lineRule="auto"/>
              <w:ind w:firstLine="0"/>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0359FE">
              <w:rPr>
                <w:color w:val="000000"/>
                <w:sz w:val="20"/>
                <w:szCs w:val="20"/>
              </w:rPr>
              <w:t>130,214</w:t>
            </w:r>
          </w:p>
        </w:tc>
      </w:tr>
      <w:tr w:rsidR="00D20A58" w:rsidRPr="00D20A58" w:rsidTr="000359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8657AF">
            <w:pPr>
              <w:spacing w:before="0" w:after="0" w:line="240" w:lineRule="auto"/>
              <w:ind w:firstLine="0"/>
              <w:jc w:val="left"/>
              <w:rPr>
                <w:color w:val="000000"/>
                <w:sz w:val="20"/>
                <w:szCs w:val="20"/>
              </w:rPr>
            </w:pPr>
            <w:r>
              <w:rPr>
                <w:color w:val="000000"/>
                <w:sz w:val="20"/>
                <w:szCs w:val="20"/>
              </w:rPr>
              <w:t>IPKe</w:t>
            </w:r>
            <w:r w:rsidRPr="000359FE">
              <w:rPr>
                <w:color w:val="000000"/>
                <w:sz w:val="20"/>
                <w:szCs w:val="20"/>
              </w:rPr>
              <w:t>A</w:t>
            </w:r>
          </w:p>
        </w:tc>
        <w:tc>
          <w:tcPr>
            <w:tcW w:w="1649" w:type="pct"/>
          </w:tcPr>
          <w:p w:rsidR="00D20A58" w:rsidRPr="00D20A58" w:rsidRDefault="00D20A58" w:rsidP="000359FE">
            <w:pPr>
              <w:spacing w:before="0" w:after="0" w:line="240" w:lineRule="auto"/>
              <w:ind w:firstLine="0"/>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Fluxo de Caixa</w:t>
            </w:r>
          </w:p>
        </w:tc>
        <w:tc>
          <w:tcPr>
            <w:tcW w:w="1649" w:type="pct"/>
            <w:noWrap/>
            <w:hideMark/>
          </w:tcPr>
          <w:p w:rsidR="00D20A58" w:rsidRPr="000359FE" w:rsidRDefault="00D20A58" w:rsidP="008657AF">
            <w:pPr>
              <w:spacing w:before="0" w:after="0" w:line="240" w:lineRule="auto"/>
              <w:ind w:firstLine="0"/>
              <w:jc w:val="right"/>
              <w:cnfStyle w:val="000000100000" w:firstRow="0" w:lastRow="0" w:firstColumn="0" w:lastColumn="0" w:oddVBand="0" w:evenVBand="0" w:oddHBand="1" w:evenHBand="0" w:firstRowFirstColumn="0" w:firstRowLastColumn="0" w:lastRowFirstColumn="0" w:lastRowLastColumn="0"/>
              <w:rPr>
                <w:color w:val="000000"/>
                <w:sz w:val="20"/>
                <w:szCs w:val="20"/>
              </w:rPr>
            </w:pPr>
            <w:r w:rsidRPr="000359FE">
              <w:rPr>
                <w:color w:val="000000"/>
                <w:sz w:val="20"/>
                <w:szCs w:val="20"/>
              </w:rPr>
              <w:t>1,477</w:t>
            </w:r>
          </w:p>
        </w:tc>
      </w:tr>
      <w:tr w:rsidR="00D20A58" w:rsidRPr="00D20A58" w:rsidTr="000359FE">
        <w:trPr>
          <w:trHeight w:val="300"/>
        </w:trPr>
        <w:tc>
          <w:tcPr>
            <w:cnfStyle w:val="001000000000" w:firstRow="0" w:lastRow="0" w:firstColumn="1" w:lastColumn="0" w:oddVBand="0" w:evenVBand="0" w:oddHBand="0" w:evenHBand="0" w:firstRowFirstColumn="0" w:firstRowLastColumn="0" w:lastRowFirstColumn="0" w:lastRowLastColumn="0"/>
            <w:tcW w:w="1702" w:type="pct"/>
            <w:noWrap/>
            <w:hideMark/>
          </w:tcPr>
          <w:p w:rsidR="00D20A58" w:rsidRPr="000359FE" w:rsidRDefault="00D20A58" w:rsidP="0032289D">
            <w:pPr>
              <w:spacing w:before="0" w:after="0" w:line="240" w:lineRule="auto"/>
              <w:ind w:firstLine="0"/>
              <w:jc w:val="left"/>
              <w:rPr>
                <w:color w:val="000000"/>
                <w:sz w:val="20"/>
                <w:szCs w:val="20"/>
              </w:rPr>
            </w:pPr>
            <w:r>
              <w:rPr>
                <w:color w:val="000000"/>
                <w:sz w:val="20"/>
                <w:szCs w:val="20"/>
              </w:rPr>
              <w:t>IPKeP</w:t>
            </w:r>
          </w:p>
        </w:tc>
        <w:tc>
          <w:tcPr>
            <w:tcW w:w="1649" w:type="pct"/>
          </w:tcPr>
          <w:p w:rsidR="00D20A58" w:rsidRDefault="00D20A58" w:rsidP="000359FE">
            <w:pPr>
              <w:spacing w:before="0" w:after="0" w:line="240" w:lineRule="auto"/>
              <w:ind w:firstLine="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Calculado entre </w:t>
            </w:r>
          </w:p>
          <w:p w:rsidR="00D20A58" w:rsidRPr="00D20A58" w:rsidRDefault="00E02CAD" w:rsidP="000359FE">
            <w:pPr>
              <w:spacing w:before="0" w:after="0" w:line="240" w:lineRule="auto"/>
              <w:ind w:firstLine="0"/>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Nov/2016 – out</w:t>
            </w:r>
            <w:r w:rsidR="00D20A58">
              <w:rPr>
                <w:color w:val="000000"/>
                <w:sz w:val="20"/>
                <w:szCs w:val="20"/>
              </w:rPr>
              <w:t>/2017</w:t>
            </w:r>
          </w:p>
        </w:tc>
        <w:tc>
          <w:tcPr>
            <w:tcW w:w="1649" w:type="pct"/>
            <w:noWrap/>
            <w:vAlign w:val="center"/>
            <w:hideMark/>
          </w:tcPr>
          <w:p w:rsidR="00D20A58" w:rsidRPr="000359FE" w:rsidRDefault="00D20A58" w:rsidP="008B392C">
            <w:pPr>
              <w:spacing w:before="0" w:after="0" w:line="240" w:lineRule="auto"/>
              <w:ind w:firstLine="0"/>
              <w:jc w:val="right"/>
              <w:cnfStyle w:val="000000000000" w:firstRow="0" w:lastRow="0" w:firstColumn="0" w:lastColumn="0" w:oddVBand="0" w:evenVBand="0" w:oddHBand="0" w:evenHBand="0" w:firstRowFirstColumn="0" w:firstRowLastColumn="0" w:lastRowFirstColumn="0" w:lastRowLastColumn="0"/>
              <w:rPr>
                <w:color w:val="000000"/>
                <w:sz w:val="20"/>
                <w:szCs w:val="20"/>
              </w:rPr>
            </w:pPr>
            <w:r w:rsidRPr="000359FE">
              <w:rPr>
                <w:color w:val="000000"/>
                <w:sz w:val="20"/>
                <w:szCs w:val="20"/>
              </w:rPr>
              <w:t>1,445</w:t>
            </w:r>
          </w:p>
        </w:tc>
      </w:tr>
    </w:tbl>
    <w:p w:rsidR="00E63455" w:rsidRPr="00CC1E75" w:rsidRDefault="00E63455" w:rsidP="00153DBA">
      <w:pPr>
        <w:spacing w:before="0" w:after="0" w:line="240" w:lineRule="auto"/>
        <w:ind w:firstLine="0"/>
        <w:rPr>
          <w:sz w:val="20"/>
        </w:rPr>
      </w:pPr>
      <w:r>
        <w:rPr>
          <w:sz w:val="20"/>
        </w:rPr>
        <w:t>Fonte: AGIR</w:t>
      </w:r>
      <w:r w:rsidR="009B707B">
        <w:rPr>
          <w:sz w:val="20"/>
        </w:rPr>
        <w:t xml:space="preserve"> (2017).</w:t>
      </w:r>
    </w:p>
    <w:p w:rsidR="009B707B" w:rsidRDefault="009B707B" w:rsidP="00153DBA">
      <w:pPr>
        <w:spacing w:before="0" w:after="0"/>
        <w:ind w:firstLine="851"/>
      </w:pPr>
    </w:p>
    <w:p w:rsidR="00090A70" w:rsidRDefault="00423D61" w:rsidP="000359FE">
      <w:pPr>
        <w:spacing w:before="0" w:after="0"/>
        <w:ind w:firstLine="851"/>
      </w:pPr>
      <w:r>
        <w:t xml:space="preserve">Uma vez definidos os valores para calcular </w:t>
      </w:r>
      <w:r w:rsidR="009B707B">
        <w:t>o</w:t>
      </w:r>
      <w:r>
        <w:t xml:space="preserve"> </w:t>
      </w:r>
      <w:r w:rsidR="009B707B">
        <w:t>r</w:t>
      </w:r>
      <w:r>
        <w:t xml:space="preserve">eajuste da tarifa, aplicando estas informações </w:t>
      </w:r>
      <w:r w:rsidR="00D92EDD">
        <w:t>à</w:t>
      </w:r>
      <w:r>
        <w:t xml:space="preserve"> equação apresentada</w:t>
      </w:r>
      <w:r w:rsidR="009B0972">
        <w:t>,</w:t>
      </w:r>
      <w:r>
        <w:t xml:space="preserve"> obté</w:t>
      </w:r>
      <w:r w:rsidR="00CA5576">
        <w:t>m-se a nova tarifa. As etapas dos</w:t>
      </w:r>
      <w:r>
        <w:t xml:space="preserve"> cálculos estão demonstradas na</w:t>
      </w:r>
      <w:r w:rsidR="00D92EDD">
        <w:t xml:space="preserve"> Figura 4</w:t>
      </w:r>
      <w:r w:rsidR="00090A70">
        <w:t xml:space="preserve"> </w:t>
      </w:r>
      <w:r>
        <w:t xml:space="preserve">a seguir. </w:t>
      </w:r>
      <w:r w:rsidR="00090A70">
        <w:t xml:space="preserve">Pode-se observar nesta </w:t>
      </w:r>
      <w:r w:rsidR="00D92EDD">
        <w:t>F</w:t>
      </w:r>
      <w:r w:rsidR="00090A70">
        <w:t>igura, o desenvolvimento</w:t>
      </w:r>
      <w:r w:rsidR="00CA5576">
        <w:t>,</w:t>
      </w:r>
      <w:r w:rsidR="00090A70">
        <w:t xml:space="preserve"> passo a passo</w:t>
      </w:r>
      <w:r w:rsidR="00CA5576">
        <w:t>,</w:t>
      </w:r>
      <w:r w:rsidR="00090A70">
        <w:t xml:space="preserve"> das etapas de cálculo do reajuste da tarifa do transporte público coletivo de Blumenau.</w:t>
      </w:r>
    </w:p>
    <w:p w:rsidR="00563337" w:rsidRDefault="00563337">
      <w:pPr>
        <w:spacing w:before="0" w:after="0" w:line="240" w:lineRule="auto"/>
        <w:ind w:firstLine="0"/>
        <w:sectPr w:rsidR="00563337" w:rsidSect="0016609B">
          <w:pgSz w:w="11906" w:h="16838"/>
          <w:pgMar w:top="1418" w:right="1134" w:bottom="1418" w:left="1701" w:header="709" w:footer="510" w:gutter="0"/>
          <w:cols w:space="708"/>
          <w:docGrid w:linePitch="360"/>
        </w:sectPr>
      </w:pPr>
    </w:p>
    <w:p w:rsidR="00E63455" w:rsidRPr="000359FE" w:rsidRDefault="00E63455" w:rsidP="000359FE">
      <w:pPr>
        <w:spacing w:before="0" w:after="0" w:line="240" w:lineRule="auto"/>
        <w:ind w:firstLine="0"/>
        <w:rPr>
          <w:b/>
          <w:i/>
          <w:iCs/>
        </w:rPr>
      </w:pPr>
      <w:bookmarkStart w:id="12" w:name="_Ref499317397"/>
      <w:r w:rsidRPr="00153DBA">
        <w:rPr>
          <w:b/>
          <w:iCs/>
        </w:rPr>
        <w:lastRenderedPageBreak/>
        <w:t xml:space="preserve">Figura </w:t>
      </w:r>
      <w:r w:rsidR="0014079C" w:rsidRPr="000359FE">
        <w:rPr>
          <w:b/>
          <w:iCs/>
        </w:rPr>
        <w:fldChar w:fldCharType="begin"/>
      </w:r>
      <w:r w:rsidRPr="000359FE">
        <w:rPr>
          <w:b/>
          <w:iCs/>
        </w:rPr>
        <w:instrText xml:space="preserve"> SEQ Figura \* ARABIC </w:instrText>
      </w:r>
      <w:r w:rsidR="0014079C" w:rsidRPr="000359FE">
        <w:rPr>
          <w:b/>
          <w:iCs/>
        </w:rPr>
        <w:fldChar w:fldCharType="separate"/>
      </w:r>
      <w:r w:rsidR="00E02CAD">
        <w:rPr>
          <w:b/>
          <w:iCs/>
          <w:noProof/>
        </w:rPr>
        <w:t>4</w:t>
      </w:r>
      <w:r w:rsidR="0014079C" w:rsidRPr="000359FE">
        <w:rPr>
          <w:b/>
          <w:iCs/>
        </w:rPr>
        <w:fldChar w:fldCharType="end"/>
      </w:r>
      <w:bookmarkEnd w:id="12"/>
      <w:r w:rsidRPr="000359FE">
        <w:rPr>
          <w:b/>
          <w:iCs/>
        </w:rPr>
        <w:t>: Cálculo do reajuste da tarifa de transporte público coletivo de Blumenau.</w:t>
      </w:r>
    </w:p>
    <w:p w:rsidR="00423D61" w:rsidRDefault="00A62FE5" w:rsidP="000359FE">
      <w:pPr>
        <w:spacing w:before="0" w:after="0" w:line="240" w:lineRule="auto"/>
        <w:ind w:firstLine="0"/>
      </w:pPr>
      <w:r>
        <w:rPr>
          <w:noProof/>
        </w:rPr>
        <w:drawing>
          <wp:inline distT="0" distB="0" distL="0" distR="0">
            <wp:extent cx="5761355" cy="4968875"/>
            <wp:effectExtent l="19050" t="19050" r="10795" b="22225"/>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1355" cy="4968875"/>
                    </a:xfrm>
                    <a:prstGeom prst="rect">
                      <a:avLst/>
                    </a:prstGeom>
                    <a:noFill/>
                    <a:ln w="12700">
                      <a:solidFill>
                        <a:schemeClr val="tx1"/>
                      </a:solidFill>
                    </a:ln>
                  </pic:spPr>
                </pic:pic>
              </a:graphicData>
            </a:graphic>
          </wp:inline>
        </w:drawing>
      </w:r>
    </w:p>
    <w:p w:rsidR="00A62FE5" w:rsidRPr="000359FE" w:rsidRDefault="00E63455" w:rsidP="000359FE">
      <w:pPr>
        <w:spacing w:before="0" w:after="0" w:line="240" w:lineRule="auto"/>
        <w:ind w:firstLine="0"/>
        <w:rPr>
          <w:sz w:val="20"/>
        </w:rPr>
      </w:pPr>
      <w:r>
        <w:rPr>
          <w:sz w:val="20"/>
        </w:rPr>
        <w:t>Fonte: AGIR</w:t>
      </w:r>
      <w:r w:rsidR="00D92EDD">
        <w:rPr>
          <w:sz w:val="20"/>
        </w:rPr>
        <w:t xml:space="preserve"> (2017).</w:t>
      </w:r>
    </w:p>
    <w:p w:rsidR="00D92EDD" w:rsidRPr="00D92EDD" w:rsidRDefault="00D92EDD" w:rsidP="000359FE">
      <w:pPr>
        <w:spacing w:before="0" w:after="0"/>
      </w:pPr>
    </w:p>
    <w:p w:rsidR="00D92EDD" w:rsidRPr="000359FE" w:rsidRDefault="00F87DF0" w:rsidP="000359FE">
      <w:pPr>
        <w:spacing w:before="0" w:after="0"/>
      </w:pPr>
      <w:r w:rsidRPr="00D92EDD">
        <w:t xml:space="preserve">Por fim, </w:t>
      </w:r>
      <w:r w:rsidR="00D92EDD" w:rsidRPr="000359FE">
        <w:t>esta Gerência de Controle, Regulação e Fiscalização de Transporte Coletivo e demais Serviços Públicos da AGIR recomenda, portanto, uma vez já apresentados os cálculos de reajuste e considerando o critério de arredondamento, que a nova tarifa reajustada deverá ser R$4,10 sendo que este um centavo de acréscimo ocasionado pelo critério de arredondamento deverá ser compensado no próximo reajuste, ou seja, haverá a redução de um centavo na tarifa calculada no próximo reajuste.</w:t>
      </w:r>
    </w:p>
    <w:p w:rsidR="00305C2F" w:rsidRPr="00D92EDD" w:rsidRDefault="00305C2F" w:rsidP="000359FE">
      <w:pPr>
        <w:spacing w:before="0" w:after="0"/>
      </w:pPr>
      <w:r w:rsidRPr="00D92EDD">
        <w:t xml:space="preserve">Este é o </w:t>
      </w:r>
      <w:r w:rsidR="004C55B8" w:rsidRPr="00D92EDD">
        <w:t>P</w:t>
      </w:r>
      <w:r w:rsidRPr="00D92EDD">
        <w:t xml:space="preserve">arecer, resguardando o poder discricionário do gestor público quanto à oportunidade e conveniência de acatar ou não as sugestões apresentadas, </w:t>
      </w:r>
      <w:r w:rsidR="00214037" w:rsidRPr="00D92EDD">
        <w:t xml:space="preserve">devendo </w:t>
      </w:r>
      <w:r w:rsidR="006C0BDC" w:rsidRPr="00D92EDD">
        <w:t>o mesmo</w:t>
      </w:r>
      <w:r w:rsidR="004C55B8" w:rsidRPr="00D92EDD">
        <w:t xml:space="preserve">, </w:t>
      </w:r>
      <w:r w:rsidR="00214037" w:rsidRPr="00D92EDD">
        <w:lastRenderedPageBreak/>
        <w:t xml:space="preserve">ser </w:t>
      </w:r>
      <w:r w:rsidR="00F11ADA" w:rsidRPr="00D92EDD">
        <w:rPr>
          <w:bCs/>
        </w:rPr>
        <w:t>encaminha</w:t>
      </w:r>
      <w:r w:rsidR="0080275A" w:rsidRPr="00D92EDD">
        <w:rPr>
          <w:bCs/>
        </w:rPr>
        <w:t>do</w:t>
      </w:r>
      <w:r w:rsidR="00F11ADA" w:rsidRPr="00D92EDD">
        <w:rPr>
          <w:bCs/>
        </w:rPr>
        <w:t xml:space="preserve"> ao </w:t>
      </w:r>
      <w:r w:rsidR="00D92EDD">
        <w:rPr>
          <w:bCs/>
        </w:rPr>
        <w:t>D</w:t>
      </w:r>
      <w:r w:rsidR="00F11ADA" w:rsidRPr="00D92EDD">
        <w:rPr>
          <w:bCs/>
        </w:rPr>
        <w:t xml:space="preserve">epartamento </w:t>
      </w:r>
      <w:r w:rsidR="00D92EDD">
        <w:rPr>
          <w:bCs/>
        </w:rPr>
        <w:t>Ju</w:t>
      </w:r>
      <w:r w:rsidR="00F11ADA" w:rsidRPr="00D92EDD">
        <w:rPr>
          <w:bCs/>
        </w:rPr>
        <w:t xml:space="preserve">rídico para análise da legalidade da proposta e posteriormente </w:t>
      </w:r>
      <w:r w:rsidR="00214037" w:rsidRPr="00D92EDD">
        <w:t xml:space="preserve">submetido à municipalidade, após </w:t>
      </w:r>
      <w:r w:rsidR="00D92EDD">
        <w:t>Decisão</w:t>
      </w:r>
      <w:r w:rsidR="00D92EDD" w:rsidRPr="00D92EDD">
        <w:t xml:space="preserve"> </w:t>
      </w:r>
      <w:r w:rsidR="00214037" w:rsidRPr="00D92EDD">
        <w:t>do Diretor Geral da AGIR</w:t>
      </w:r>
      <w:r w:rsidRPr="00D92EDD">
        <w:t>.</w:t>
      </w:r>
    </w:p>
    <w:p w:rsidR="00036E25" w:rsidRPr="00D92EDD" w:rsidRDefault="00036E25" w:rsidP="000359FE">
      <w:pPr>
        <w:spacing w:before="0" w:after="0"/>
        <w:rPr>
          <w:bCs/>
        </w:rPr>
      </w:pPr>
    </w:p>
    <w:p w:rsidR="002E6605" w:rsidRPr="003C65F6" w:rsidRDefault="002E6605" w:rsidP="00153DBA">
      <w:pPr>
        <w:spacing w:before="0" w:after="0"/>
        <w:ind w:firstLine="851"/>
      </w:pPr>
    </w:p>
    <w:p w:rsidR="00343F64" w:rsidRPr="003A0561" w:rsidRDefault="00305C2F" w:rsidP="000359FE">
      <w:pPr>
        <w:spacing w:before="0" w:after="0"/>
        <w:ind w:firstLine="851"/>
        <w:jc w:val="right"/>
      </w:pPr>
      <w:r w:rsidRPr="003A0561">
        <w:t xml:space="preserve">Blumenau (SC), </w:t>
      </w:r>
      <w:r w:rsidR="004C55B8" w:rsidRPr="002812E2">
        <w:t xml:space="preserve">em </w:t>
      </w:r>
      <w:r w:rsidR="0010754D">
        <w:t>1</w:t>
      </w:r>
      <w:r w:rsidR="00887801">
        <w:t>2</w:t>
      </w:r>
      <w:r w:rsidR="00BA370E" w:rsidRPr="00A92F4E">
        <w:t xml:space="preserve"> de </w:t>
      </w:r>
      <w:r w:rsidR="0010754D">
        <w:t>fevereiro</w:t>
      </w:r>
      <w:bookmarkStart w:id="13" w:name="_GoBack"/>
      <w:bookmarkEnd w:id="13"/>
      <w:r w:rsidR="00F87DF0" w:rsidRPr="00A92F4E">
        <w:t xml:space="preserve"> </w:t>
      </w:r>
      <w:r w:rsidRPr="00A92F4E">
        <w:t>de 201</w:t>
      </w:r>
      <w:r w:rsidR="0010754D">
        <w:t>8</w:t>
      </w:r>
      <w:r w:rsidRPr="00A92F4E">
        <w:t>.</w:t>
      </w:r>
    </w:p>
    <w:p w:rsidR="00A34E75" w:rsidRDefault="00A34E75" w:rsidP="00705714">
      <w:pPr>
        <w:ind w:firstLine="851"/>
        <w:jc w:val="right"/>
      </w:pPr>
    </w:p>
    <w:p w:rsidR="00F11ADA" w:rsidRDefault="00F11ADA" w:rsidP="00705714">
      <w:pPr>
        <w:ind w:firstLine="851"/>
        <w:jc w:val="right"/>
      </w:pPr>
    </w:p>
    <w:p w:rsidR="00A34E75" w:rsidRPr="00C875DB" w:rsidRDefault="00A34E75" w:rsidP="00705714">
      <w:pPr>
        <w:ind w:firstLine="851"/>
        <w:jc w:val="right"/>
      </w:pPr>
    </w:p>
    <w:tbl>
      <w:tblPr>
        <w:tblW w:w="9513" w:type="dxa"/>
        <w:tblLook w:val="04A0" w:firstRow="1" w:lastRow="0" w:firstColumn="1" w:lastColumn="0" w:noHBand="0" w:noVBand="1"/>
      </w:tblPr>
      <w:tblGrid>
        <w:gridCol w:w="4503"/>
        <w:gridCol w:w="5010"/>
      </w:tblGrid>
      <w:tr w:rsidR="007A54B2" w:rsidRPr="00C875DB" w:rsidTr="000359FE">
        <w:tc>
          <w:tcPr>
            <w:tcW w:w="4503" w:type="dxa"/>
          </w:tcPr>
          <w:p w:rsidR="007A54B2" w:rsidRPr="00C875DB" w:rsidRDefault="007A54B2" w:rsidP="000359FE">
            <w:pPr>
              <w:ind w:firstLine="0"/>
              <w:rPr>
                <w:rFonts w:eastAsia="Calibri"/>
                <w:b/>
                <w:lang w:eastAsia="en-US"/>
              </w:rPr>
            </w:pPr>
          </w:p>
          <w:p w:rsidR="007A54B2" w:rsidRPr="00C875DB" w:rsidRDefault="00A264A2" w:rsidP="00D624F4">
            <w:pPr>
              <w:ind w:firstLine="0"/>
              <w:jc w:val="center"/>
              <w:rPr>
                <w:b/>
              </w:rPr>
            </w:pPr>
            <w:r w:rsidRPr="00C875DB">
              <w:rPr>
                <w:b/>
              </w:rPr>
              <w:t>DANIEL ANT</w:t>
            </w:r>
            <w:r w:rsidR="006C0BDC">
              <w:rPr>
                <w:b/>
              </w:rPr>
              <w:t>O</w:t>
            </w:r>
            <w:r w:rsidRPr="00C875DB">
              <w:rPr>
                <w:b/>
              </w:rPr>
              <w:t>NIO NARZETTI</w:t>
            </w:r>
          </w:p>
          <w:p w:rsidR="007A54B2" w:rsidRPr="00C875DB" w:rsidRDefault="004C55B8" w:rsidP="000359FE">
            <w:pPr>
              <w:spacing w:before="0" w:after="0" w:line="276" w:lineRule="auto"/>
              <w:ind w:firstLine="0"/>
              <w:jc w:val="center"/>
            </w:pPr>
            <w:r w:rsidRPr="00C875DB">
              <w:t xml:space="preserve">Gerente de Controle, Regulação e Fiscalização de Transporte Coletivo e </w:t>
            </w:r>
            <w:r w:rsidR="00766F78">
              <w:t>d</w:t>
            </w:r>
            <w:r w:rsidRPr="00C875DB">
              <w:t>emais Serviços Públicos da</w:t>
            </w:r>
            <w:r w:rsidR="007A54B2" w:rsidRPr="00C875DB">
              <w:t xml:space="preserve"> AGIR</w:t>
            </w:r>
          </w:p>
          <w:p w:rsidR="00A264A2" w:rsidRPr="00C875DB" w:rsidRDefault="00A264A2" w:rsidP="000359FE">
            <w:pPr>
              <w:spacing w:before="0" w:after="0" w:line="276" w:lineRule="auto"/>
              <w:ind w:firstLine="0"/>
              <w:jc w:val="center"/>
              <w:rPr>
                <w:lang w:eastAsia="en-US"/>
              </w:rPr>
            </w:pPr>
            <w:r w:rsidRPr="00C875DB">
              <w:t>CORECON-SC nº 3512</w:t>
            </w:r>
          </w:p>
        </w:tc>
        <w:tc>
          <w:tcPr>
            <w:tcW w:w="5010" w:type="dxa"/>
          </w:tcPr>
          <w:p w:rsidR="007A54B2" w:rsidRPr="00C875DB" w:rsidRDefault="007A54B2" w:rsidP="000359FE">
            <w:pPr>
              <w:ind w:firstLine="0"/>
              <w:rPr>
                <w:rFonts w:eastAsia="Calibri"/>
                <w:b/>
                <w:lang w:eastAsia="en-US"/>
              </w:rPr>
            </w:pPr>
          </w:p>
          <w:p w:rsidR="00A34E75" w:rsidRPr="00D761A8" w:rsidRDefault="00A34E75" w:rsidP="00D624F4">
            <w:pPr>
              <w:ind w:firstLine="0"/>
              <w:jc w:val="center"/>
              <w:rPr>
                <w:b/>
              </w:rPr>
            </w:pPr>
            <w:r w:rsidRPr="00D761A8">
              <w:rPr>
                <w:b/>
              </w:rPr>
              <w:t>ADEMIR MANOEL GONÇALVES</w:t>
            </w:r>
          </w:p>
          <w:p w:rsidR="00A34E75" w:rsidRPr="00D761A8" w:rsidRDefault="00A34E75" w:rsidP="000359FE">
            <w:pPr>
              <w:spacing w:before="0" w:after="0" w:line="276" w:lineRule="auto"/>
              <w:ind w:firstLine="0"/>
              <w:jc w:val="center"/>
            </w:pPr>
            <w:r w:rsidRPr="00D761A8">
              <w:t>Economista - AGIR</w:t>
            </w:r>
          </w:p>
          <w:p w:rsidR="0088043E" w:rsidRPr="000359FE" w:rsidRDefault="00A34E75" w:rsidP="000359FE">
            <w:pPr>
              <w:spacing w:before="0" w:after="0" w:line="276" w:lineRule="auto"/>
              <w:ind w:firstLine="0"/>
              <w:jc w:val="center"/>
            </w:pPr>
            <w:r w:rsidRPr="00D761A8">
              <w:t xml:space="preserve">CORECON-SC </w:t>
            </w:r>
            <w:r>
              <w:t>Nº</w:t>
            </w:r>
            <w:r w:rsidRPr="00D761A8">
              <w:t>1463</w:t>
            </w:r>
          </w:p>
          <w:p w:rsidR="007A54B2" w:rsidRPr="00C875DB" w:rsidRDefault="007A54B2" w:rsidP="000359FE">
            <w:pPr>
              <w:tabs>
                <w:tab w:val="left" w:pos="426"/>
              </w:tabs>
              <w:ind w:firstLine="0"/>
              <w:rPr>
                <w:lang w:eastAsia="en-US"/>
              </w:rPr>
            </w:pPr>
          </w:p>
        </w:tc>
      </w:tr>
    </w:tbl>
    <w:p w:rsidR="00305C2F" w:rsidRPr="00C875DB" w:rsidRDefault="00305C2F" w:rsidP="004A4729">
      <w:pPr>
        <w:rPr>
          <w:rStyle w:val="nfase"/>
          <w:b w:val="0"/>
        </w:rPr>
      </w:pPr>
    </w:p>
    <w:sectPr w:rsidR="00305C2F" w:rsidRPr="00C875DB" w:rsidSect="0016609B">
      <w:pgSz w:w="11906" w:h="16838"/>
      <w:pgMar w:top="1418" w:right="1134" w:bottom="1418" w:left="170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6219" w:rsidRDefault="00686219" w:rsidP="00D0096E">
      <w:r>
        <w:separator/>
      </w:r>
    </w:p>
  </w:endnote>
  <w:endnote w:type="continuationSeparator" w:id="0">
    <w:p w:rsidR="00686219" w:rsidRDefault="00686219" w:rsidP="00D00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219" w:rsidRPr="00C313EB" w:rsidRDefault="0014079C" w:rsidP="000359FE">
    <w:pPr>
      <w:pStyle w:val="Rodap"/>
      <w:jc w:val="right"/>
      <w:rPr>
        <w:szCs w:val="20"/>
      </w:rPr>
    </w:pPr>
    <w:r w:rsidRPr="00686219">
      <w:rPr>
        <w:sz w:val="20"/>
        <w:szCs w:val="20"/>
      </w:rPr>
      <w:fldChar w:fldCharType="begin"/>
    </w:r>
    <w:r w:rsidR="00686219" w:rsidRPr="00206CC7">
      <w:rPr>
        <w:sz w:val="20"/>
        <w:szCs w:val="20"/>
      </w:rPr>
      <w:instrText>PAGE   \* MERGEFORMAT</w:instrText>
    </w:r>
    <w:r w:rsidRPr="00686219">
      <w:rPr>
        <w:sz w:val="20"/>
        <w:szCs w:val="20"/>
      </w:rPr>
      <w:fldChar w:fldCharType="separate"/>
    </w:r>
    <w:r w:rsidR="0010754D">
      <w:rPr>
        <w:noProof/>
        <w:sz w:val="20"/>
        <w:szCs w:val="20"/>
      </w:rPr>
      <w:t>17</w:t>
    </w:r>
    <w:r w:rsidRPr="00686219">
      <w:rPr>
        <w:sz w:val="20"/>
        <w:szCs w:val="20"/>
      </w:rPr>
      <w:fldChar w:fldCharType="end"/>
    </w:r>
    <w:r w:rsidR="00686219" w:rsidRPr="000F0804">
      <w:rPr>
        <w:noProof/>
      </w:rPr>
      <w:drawing>
        <wp:inline distT="0" distB="0" distL="0" distR="0">
          <wp:extent cx="5800090" cy="457200"/>
          <wp:effectExtent l="0" t="0" r="0" b="0"/>
          <wp:docPr id="24" name="Imagem 4"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09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6219" w:rsidRDefault="00686219" w:rsidP="00D0096E">
      <w:r>
        <w:separator/>
      </w:r>
    </w:p>
  </w:footnote>
  <w:footnote w:type="continuationSeparator" w:id="0">
    <w:p w:rsidR="00686219" w:rsidRDefault="00686219" w:rsidP="00D0096E">
      <w:r>
        <w:continuationSeparator/>
      </w:r>
    </w:p>
  </w:footnote>
  <w:footnote w:id="1">
    <w:p w:rsidR="00686219" w:rsidRPr="000359FE" w:rsidRDefault="00686219" w:rsidP="00E1517F">
      <w:pPr>
        <w:pStyle w:val="Textodenotaderodap"/>
        <w:ind w:firstLine="0"/>
      </w:pPr>
      <w:r>
        <w:rPr>
          <w:rStyle w:val="Refdenotaderodap"/>
        </w:rPr>
        <w:footnoteRef/>
      </w:r>
      <w:r>
        <w:t xml:space="preserve"> Destaca-se que o processo de dissídio coletivo continua em negociação aberta.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6219" w:rsidRDefault="00686219" w:rsidP="000359FE">
    <w:pPr>
      <w:pStyle w:val="Cabealho"/>
      <w:spacing w:before="0" w:after="0" w:line="240" w:lineRule="auto"/>
      <w:ind w:firstLine="0"/>
    </w:pPr>
    <w:r>
      <w:rPr>
        <w:noProof/>
      </w:rPr>
      <w:drawing>
        <wp:anchor distT="0" distB="0" distL="114300" distR="114300" simplePos="0" relativeHeight="251657728" behindDoc="0" locked="0" layoutInCell="1" allowOverlap="1">
          <wp:simplePos x="0" y="0"/>
          <wp:positionH relativeFrom="column">
            <wp:posOffset>-8890</wp:posOffset>
          </wp:positionH>
          <wp:positionV relativeFrom="paragraph">
            <wp:posOffset>-1905</wp:posOffset>
          </wp:positionV>
          <wp:extent cx="5815330" cy="1238250"/>
          <wp:effectExtent l="0" t="0" r="0" b="0"/>
          <wp:wrapTopAndBottom/>
          <wp:docPr id="1" name="Imagem 0"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5330" cy="12382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63B84"/>
    <w:multiLevelType w:val="hybridMultilevel"/>
    <w:tmpl w:val="3EFCAA78"/>
    <w:lvl w:ilvl="0" w:tplc="01FA230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 w15:restartNumberingAfterBreak="0">
    <w:nsid w:val="1CBC223B"/>
    <w:multiLevelType w:val="hybridMultilevel"/>
    <w:tmpl w:val="AB6CDDB6"/>
    <w:lvl w:ilvl="0" w:tplc="09A2F6AE">
      <w:start w:val="1"/>
      <w:numFmt w:val="decimal"/>
      <w:lvlText w:val="%1."/>
      <w:lvlJc w:val="left"/>
      <w:pPr>
        <w:ind w:left="3621" w:hanging="360"/>
      </w:pPr>
      <w:rPr>
        <w:rFonts w:ascii="Bookman Old Style" w:hAnsi="Bookman Old Style" w:hint="default"/>
        <w:b/>
        <w:i w:val="0"/>
        <w:color w:val="auto"/>
        <w:sz w:val="24"/>
        <w:szCs w:val="24"/>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 w15:restartNumberingAfterBreak="0">
    <w:nsid w:val="1DE814F8"/>
    <w:multiLevelType w:val="hybridMultilevel"/>
    <w:tmpl w:val="F9A4B85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31524A6"/>
    <w:multiLevelType w:val="multilevel"/>
    <w:tmpl w:val="AABA0D36"/>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234D795D"/>
    <w:multiLevelType w:val="hybridMultilevel"/>
    <w:tmpl w:val="0F626138"/>
    <w:lvl w:ilvl="0" w:tplc="672EACB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5" w15:restartNumberingAfterBreak="0">
    <w:nsid w:val="2BA5147E"/>
    <w:multiLevelType w:val="hybridMultilevel"/>
    <w:tmpl w:val="2B0AA77E"/>
    <w:lvl w:ilvl="0" w:tplc="04160017">
      <w:start w:val="6"/>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BBD212A"/>
    <w:multiLevelType w:val="hybridMultilevel"/>
    <w:tmpl w:val="DEC85EE6"/>
    <w:lvl w:ilvl="0" w:tplc="7AB04A76">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15:restartNumberingAfterBreak="0">
    <w:nsid w:val="40745A98"/>
    <w:multiLevelType w:val="hybridMultilevel"/>
    <w:tmpl w:val="622CB5F4"/>
    <w:lvl w:ilvl="0" w:tplc="04160005">
      <w:start w:val="1"/>
      <w:numFmt w:val="bullet"/>
      <w:lvlText w:val=""/>
      <w:lvlJc w:val="left"/>
      <w:pPr>
        <w:ind w:left="2138" w:hanging="360"/>
      </w:pPr>
      <w:rPr>
        <w:rFonts w:ascii="Wingdings" w:hAnsi="Wingding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8" w15:restartNumberingAfterBreak="0">
    <w:nsid w:val="4D6615A5"/>
    <w:multiLevelType w:val="hybridMultilevel"/>
    <w:tmpl w:val="5A68CB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6C1728E"/>
    <w:multiLevelType w:val="hybridMultilevel"/>
    <w:tmpl w:val="E4C643DC"/>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0" w15:restartNumberingAfterBreak="0">
    <w:nsid w:val="709F4BDE"/>
    <w:multiLevelType w:val="hybridMultilevel"/>
    <w:tmpl w:val="AD980CB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1" w15:restartNumberingAfterBreak="0">
    <w:nsid w:val="752B3E35"/>
    <w:multiLevelType w:val="hybridMultilevel"/>
    <w:tmpl w:val="666CD17E"/>
    <w:lvl w:ilvl="0" w:tplc="7D14CA8E">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num w:numId="1">
    <w:abstractNumId w:val="11"/>
  </w:num>
  <w:num w:numId="2">
    <w:abstractNumId w:val="4"/>
  </w:num>
  <w:num w:numId="3">
    <w:abstractNumId w:val="0"/>
  </w:num>
  <w:num w:numId="4">
    <w:abstractNumId w:val="6"/>
  </w:num>
  <w:num w:numId="5">
    <w:abstractNumId w:val="8"/>
  </w:num>
  <w:num w:numId="6">
    <w:abstractNumId w:val="5"/>
  </w:num>
  <w:num w:numId="7">
    <w:abstractNumId w:val="3"/>
  </w:num>
  <w:num w:numId="8">
    <w:abstractNumId w:val="7"/>
  </w:num>
  <w:num w:numId="9">
    <w:abstractNumId w:val="1"/>
  </w:num>
  <w:num w:numId="10">
    <w:abstractNumId w:val="10"/>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0ADC"/>
    <w:rsid w:val="00002D8D"/>
    <w:rsid w:val="00011A15"/>
    <w:rsid w:val="00013EE2"/>
    <w:rsid w:val="000150AC"/>
    <w:rsid w:val="00020A44"/>
    <w:rsid w:val="00020D35"/>
    <w:rsid w:val="00021075"/>
    <w:rsid w:val="00023BDB"/>
    <w:rsid w:val="00024C3F"/>
    <w:rsid w:val="0003123D"/>
    <w:rsid w:val="0003135B"/>
    <w:rsid w:val="000356B4"/>
    <w:rsid w:val="000359FE"/>
    <w:rsid w:val="00036E25"/>
    <w:rsid w:val="00052698"/>
    <w:rsid w:val="00062B83"/>
    <w:rsid w:val="000637B5"/>
    <w:rsid w:val="00064466"/>
    <w:rsid w:val="000669EF"/>
    <w:rsid w:val="0006722D"/>
    <w:rsid w:val="00067822"/>
    <w:rsid w:val="00070224"/>
    <w:rsid w:val="0007134D"/>
    <w:rsid w:val="00071484"/>
    <w:rsid w:val="0007254D"/>
    <w:rsid w:val="000823D0"/>
    <w:rsid w:val="000829F9"/>
    <w:rsid w:val="00082CC8"/>
    <w:rsid w:val="00083006"/>
    <w:rsid w:val="0008612B"/>
    <w:rsid w:val="00087240"/>
    <w:rsid w:val="00090A70"/>
    <w:rsid w:val="0009251E"/>
    <w:rsid w:val="00094210"/>
    <w:rsid w:val="0009446F"/>
    <w:rsid w:val="00094F8E"/>
    <w:rsid w:val="000A0518"/>
    <w:rsid w:val="000B1966"/>
    <w:rsid w:val="000B1A1E"/>
    <w:rsid w:val="000D196B"/>
    <w:rsid w:val="000D2DBD"/>
    <w:rsid w:val="000D2FD4"/>
    <w:rsid w:val="000D3B1B"/>
    <w:rsid w:val="000D7ED3"/>
    <w:rsid w:val="000E024C"/>
    <w:rsid w:val="000E257C"/>
    <w:rsid w:val="000E65F5"/>
    <w:rsid w:val="0010641F"/>
    <w:rsid w:val="001065C6"/>
    <w:rsid w:val="0010754D"/>
    <w:rsid w:val="001126AB"/>
    <w:rsid w:val="00115556"/>
    <w:rsid w:val="0013031A"/>
    <w:rsid w:val="00132B4F"/>
    <w:rsid w:val="00132E58"/>
    <w:rsid w:val="0014079C"/>
    <w:rsid w:val="001464EE"/>
    <w:rsid w:val="001470A6"/>
    <w:rsid w:val="00150E46"/>
    <w:rsid w:val="00152DFD"/>
    <w:rsid w:val="00153DBA"/>
    <w:rsid w:val="0015416D"/>
    <w:rsid w:val="00154983"/>
    <w:rsid w:val="0015513C"/>
    <w:rsid w:val="00160BE9"/>
    <w:rsid w:val="00161BC8"/>
    <w:rsid w:val="00162F28"/>
    <w:rsid w:val="0016609B"/>
    <w:rsid w:val="00171D25"/>
    <w:rsid w:val="00177926"/>
    <w:rsid w:val="0018021B"/>
    <w:rsid w:val="00182685"/>
    <w:rsid w:val="00183BE8"/>
    <w:rsid w:val="00190279"/>
    <w:rsid w:val="0019404E"/>
    <w:rsid w:val="0019478B"/>
    <w:rsid w:val="00194AD8"/>
    <w:rsid w:val="001A782B"/>
    <w:rsid w:val="001B1ACB"/>
    <w:rsid w:val="001B3115"/>
    <w:rsid w:val="001B4B01"/>
    <w:rsid w:val="001B7637"/>
    <w:rsid w:val="001C1A99"/>
    <w:rsid w:val="001C3C0E"/>
    <w:rsid w:val="001C78C7"/>
    <w:rsid w:val="001D16D6"/>
    <w:rsid w:val="001E7D1B"/>
    <w:rsid w:val="001F5659"/>
    <w:rsid w:val="002001B2"/>
    <w:rsid w:val="00200934"/>
    <w:rsid w:val="00206CC7"/>
    <w:rsid w:val="00213BCD"/>
    <w:rsid w:val="00214037"/>
    <w:rsid w:val="002228DD"/>
    <w:rsid w:val="0022553B"/>
    <w:rsid w:val="002262DB"/>
    <w:rsid w:val="00226BE3"/>
    <w:rsid w:val="00231CD2"/>
    <w:rsid w:val="002326A3"/>
    <w:rsid w:val="00232736"/>
    <w:rsid w:val="00233795"/>
    <w:rsid w:val="002344D4"/>
    <w:rsid w:val="00237537"/>
    <w:rsid w:val="00237B6C"/>
    <w:rsid w:val="00252CE0"/>
    <w:rsid w:val="00260CE3"/>
    <w:rsid w:val="0026430D"/>
    <w:rsid w:val="002812E2"/>
    <w:rsid w:val="00282B23"/>
    <w:rsid w:val="002831B7"/>
    <w:rsid w:val="00290E40"/>
    <w:rsid w:val="002924D7"/>
    <w:rsid w:val="002A43E5"/>
    <w:rsid w:val="002A5C63"/>
    <w:rsid w:val="002B04E4"/>
    <w:rsid w:val="002B73EA"/>
    <w:rsid w:val="002C08CB"/>
    <w:rsid w:val="002C1029"/>
    <w:rsid w:val="002C15F8"/>
    <w:rsid w:val="002C2B6B"/>
    <w:rsid w:val="002C4DB1"/>
    <w:rsid w:val="002D189B"/>
    <w:rsid w:val="002E22E4"/>
    <w:rsid w:val="002E3591"/>
    <w:rsid w:val="002E6605"/>
    <w:rsid w:val="002E67C4"/>
    <w:rsid w:val="002E701F"/>
    <w:rsid w:val="002F1CAF"/>
    <w:rsid w:val="002F34D5"/>
    <w:rsid w:val="00300FFE"/>
    <w:rsid w:val="00304258"/>
    <w:rsid w:val="00305C2F"/>
    <w:rsid w:val="00321541"/>
    <w:rsid w:val="0032289D"/>
    <w:rsid w:val="00323E2C"/>
    <w:rsid w:val="0032737E"/>
    <w:rsid w:val="003320DC"/>
    <w:rsid w:val="00332946"/>
    <w:rsid w:val="00333BD2"/>
    <w:rsid w:val="0033460E"/>
    <w:rsid w:val="003353BC"/>
    <w:rsid w:val="00335CD6"/>
    <w:rsid w:val="00336F1F"/>
    <w:rsid w:val="00337259"/>
    <w:rsid w:val="00337C0B"/>
    <w:rsid w:val="00343F64"/>
    <w:rsid w:val="00344C49"/>
    <w:rsid w:val="00346693"/>
    <w:rsid w:val="0035226E"/>
    <w:rsid w:val="00353392"/>
    <w:rsid w:val="00360B76"/>
    <w:rsid w:val="003744F9"/>
    <w:rsid w:val="00376DE1"/>
    <w:rsid w:val="003770B4"/>
    <w:rsid w:val="00380082"/>
    <w:rsid w:val="00384070"/>
    <w:rsid w:val="00384E41"/>
    <w:rsid w:val="003901AE"/>
    <w:rsid w:val="00393A5F"/>
    <w:rsid w:val="003A0561"/>
    <w:rsid w:val="003A5730"/>
    <w:rsid w:val="003B4AB6"/>
    <w:rsid w:val="003B4BD4"/>
    <w:rsid w:val="003B5C5F"/>
    <w:rsid w:val="003B715E"/>
    <w:rsid w:val="003C33CC"/>
    <w:rsid w:val="003C3B2F"/>
    <w:rsid w:val="003C65F6"/>
    <w:rsid w:val="003D097E"/>
    <w:rsid w:val="003D27B4"/>
    <w:rsid w:val="003D53FB"/>
    <w:rsid w:val="003D7D72"/>
    <w:rsid w:val="003E4BF2"/>
    <w:rsid w:val="003E5700"/>
    <w:rsid w:val="003E7458"/>
    <w:rsid w:val="003F3127"/>
    <w:rsid w:val="003F3AF7"/>
    <w:rsid w:val="004035FC"/>
    <w:rsid w:val="004041A3"/>
    <w:rsid w:val="00405992"/>
    <w:rsid w:val="0040668A"/>
    <w:rsid w:val="004121C3"/>
    <w:rsid w:val="00415385"/>
    <w:rsid w:val="00415C14"/>
    <w:rsid w:val="00422D8C"/>
    <w:rsid w:val="00423D61"/>
    <w:rsid w:val="0042640E"/>
    <w:rsid w:val="0042735A"/>
    <w:rsid w:val="004335D3"/>
    <w:rsid w:val="00434671"/>
    <w:rsid w:val="004424DE"/>
    <w:rsid w:val="00444313"/>
    <w:rsid w:val="00445AC7"/>
    <w:rsid w:val="00446542"/>
    <w:rsid w:val="0045411C"/>
    <w:rsid w:val="004546BE"/>
    <w:rsid w:val="00456B1B"/>
    <w:rsid w:val="0046406A"/>
    <w:rsid w:val="0046624D"/>
    <w:rsid w:val="00467238"/>
    <w:rsid w:val="00473486"/>
    <w:rsid w:val="004763F8"/>
    <w:rsid w:val="00480FDF"/>
    <w:rsid w:val="00485DCD"/>
    <w:rsid w:val="0048772F"/>
    <w:rsid w:val="00491BD4"/>
    <w:rsid w:val="00491DA6"/>
    <w:rsid w:val="004924C6"/>
    <w:rsid w:val="00496A81"/>
    <w:rsid w:val="004A4729"/>
    <w:rsid w:val="004B7654"/>
    <w:rsid w:val="004B7EEE"/>
    <w:rsid w:val="004C55B8"/>
    <w:rsid w:val="004D1E69"/>
    <w:rsid w:val="004D2365"/>
    <w:rsid w:val="004D38C0"/>
    <w:rsid w:val="004E41C8"/>
    <w:rsid w:val="004F6F70"/>
    <w:rsid w:val="005033DD"/>
    <w:rsid w:val="00503ADA"/>
    <w:rsid w:val="00504941"/>
    <w:rsid w:val="005066F5"/>
    <w:rsid w:val="00511025"/>
    <w:rsid w:val="00512072"/>
    <w:rsid w:val="00517C9F"/>
    <w:rsid w:val="00523C94"/>
    <w:rsid w:val="0053467B"/>
    <w:rsid w:val="0053471F"/>
    <w:rsid w:val="00534C4B"/>
    <w:rsid w:val="00546469"/>
    <w:rsid w:val="005516D7"/>
    <w:rsid w:val="00563337"/>
    <w:rsid w:val="00565CD2"/>
    <w:rsid w:val="005673AB"/>
    <w:rsid w:val="0056792F"/>
    <w:rsid w:val="00571476"/>
    <w:rsid w:val="00573A29"/>
    <w:rsid w:val="00573CA6"/>
    <w:rsid w:val="00574184"/>
    <w:rsid w:val="00575D85"/>
    <w:rsid w:val="005802ED"/>
    <w:rsid w:val="005A4FD1"/>
    <w:rsid w:val="005A7618"/>
    <w:rsid w:val="005B73F6"/>
    <w:rsid w:val="005C0734"/>
    <w:rsid w:val="005C508A"/>
    <w:rsid w:val="005C6CF2"/>
    <w:rsid w:val="005D07EF"/>
    <w:rsid w:val="005D2F22"/>
    <w:rsid w:val="005D4233"/>
    <w:rsid w:val="005D7742"/>
    <w:rsid w:val="005E17D8"/>
    <w:rsid w:val="005E3336"/>
    <w:rsid w:val="005F0D7B"/>
    <w:rsid w:val="005F275D"/>
    <w:rsid w:val="005F7236"/>
    <w:rsid w:val="00604A4D"/>
    <w:rsid w:val="00610B5B"/>
    <w:rsid w:val="006138E5"/>
    <w:rsid w:val="00615D6A"/>
    <w:rsid w:val="00620741"/>
    <w:rsid w:val="006252C9"/>
    <w:rsid w:val="006252EE"/>
    <w:rsid w:val="006262CC"/>
    <w:rsid w:val="00633952"/>
    <w:rsid w:val="00634F3E"/>
    <w:rsid w:val="0064136C"/>
    <w:rsid w:val="006418BA"/>
    <w:rsid w:val="0064460F"/>
    <w:rsid w:val="0066720C"/>
    <w:rsid w:val="006709BF"/>
    <w:rsid w:val="00670EE2"/>
    <w:rsid w:val="00672481"/>
    <w:rsid w:val="00675107"/>
    <w:rsid w:val="00676550"/>
    <w:rsid w:val="00680E1C"/>
    <w:rsid w:val="00681BEE"/>
    <w:rsid w:val="00683491"/>
    <w:rsid w:val="00686219"/>
    <w:rsid w:val="0068692B"/>
    <w:rsid w:val="00691CA8"/>
    <w:rsid w:val="00694F16"/>
    <w:rsid w:val="00695285"/>
    <w:rsid w:val="006A03EA"/>
    <w:rsid w:val="006A397F"/>
    <w:rsid w:val="006B52DB"/>
    <w:rsid w:val="006B64DC"/>
    <w:rsid w:val="006C0BDC"/>
    <w:rsid w:val="006C1729"/>
    <w:rsid w:val="006C2F2D"/>
    <w:rsid w:val="006C32E2"/>
    <w:rsid w:val="006C67FF"/>
    <w:rsid w:val="006C7308"/>
    <w:rsid w:val="006D0730"/>
    <w:rsid w:val="006D0E12"/>
    <w:rsid w:val="006D20D5"/>
    <w:rsid w:val="006D21F5"/>
    <w:rsid w:val="006D4A01"/>
    <w:rsid w:val="006E0334"/>
    <w:rsid w:val="006F372A"/>
    <w:rsid w:val="006F4092"/>
    <w:rsid w:val="006F4B5B"/>
    <w:rsid w:val="006F4CE4"/>
    <w:rsid w:val="006F6193"/>
    <w:rsid w:val="006F71A0"/>
    <w:rsid w:val="00700613"/>
    <w:rsid w:val="00700B58"/>
    <w:rsid w:val="007024D4"/>
    <w:rsid w:val="00705714"/>
    <w:rsid w:val="007067C0"/>
    <w:rsid w:val="00707C40"/>
    <w:rsid w:val="0071068F"/>
    <w:rsid w:val="007135DC"/>
    <w:rsid w:val="0071411A"/>
    <w:rsid w:val="0072050C"/>
    <w:rsid w:val="00720E28"/>
    <w:rsid w:val="00721141"/>
    <w:rsid w:val="007258EB"/>
    <w:rsid w:val="00726D72"/>
    <w:rsid w:val="007363C4"/>
    <w:rsid w:val="0073797C"/>
    <w:rsid w:val="007401A8"/>
    <w:rsid w:val="00740FB1"/>
    <w:rsid w:val="007460CF"/>
    <w:rsid w:val="007460EA"/>
    <w:rsid w:val="00746A15"/>
    <w:rsid w:val="00754CEA"/>
    <w:rsid w:val="00762B94"/>
    <w:rsid w:val="0076357E"/>
    <w:rsid w:val="00764B14"/>
    <w:rsid w:val="00766F78"/>
    <w:rsid w:val="007703F4"/>
    <w:rsid w:val="0077295D"/>
    <w:rsid w:val="00781D0A"/>
    <w:rsid w:val="00785F3C"/>
    <w:rsid w:val="00786CE0"/>
    <w:rsid w:val="00794F84"/>
    <w:rsid w:val="00796895"/>
    <w:rsid w:val="007A036C"/>
    <w:rsid w:val="007A097A"/>
    <w:rsid w:val="007A0B9A"/>
    <w:rsid w:val="007A532D"/>
    <w:rsid w:val="007A54B2"/>
    <w:rsid w:val="007B0FAE"/>
    <w:rsid w:val="007B41F2"/>
    <w:rsid w:val="007B7CDD"/>
    <w:rsid w:val="007C1153"/>
    <w:rsid w:val="007C457B"/>
    <w:rsid w:val="007C50D8"/>
    <w:rsid w:val="007C5E80"/>
    <w:rsid w:val="007D1742"/>
    <w:rsid w:val="007D25F9"/>
    <w:rsid w:val="007D6928"/>
    <w:rsid w:val="007E16CC"/>
    <w:rsid w:val="007E362A"/>
    <w:rsid w:val="007E3F83"/>
    <w:rsid w:val="007E4123"/>
    <w:rsid w:val="007E6868"/>
    <w:rsid w:val="007E6CCD"/>
    <w:rsid w:val="007E6E66"/>
    <w:rsid w:val="007E7293"/>
    <w:rsid w:val="007E7AF4"/>
    <w:rsid w:val="007F11E3"/>
    <w:rsid w:val="007F14FB"/>
    <w:rsid w:val="007F31A7"/>
    <w:rsid w:val="007F42F3"/>
    <w:rsid w:val="007F4733"/>
    <w:rsid w:val="007F5306"/>
    <w:rsid w:val="0080275A"/>
    <w:rsid w:val="00806CD6"/>
    <w:rsid w:val="00812536"/>
    <w:rsid w:val="00812697"/>
    <w:rsid w:val="00813037"/>
    <w:rsid w:val="008143C3"/>
    <w:rsid w:val="00814AA2"/>
    <w:rsid w:val="00814D8A"/>
    <w:rsid w:val="008242CD"/>
    <w:rsid w:val="00830EF1"/>
    <w:rsid w:val="00831912"/>
    <w:rsid w:val="008319B0"/>
    <w:rsid w:val="00833C63"/>
    <w:rsid w:val="00834E40"/>
    <w:rsid w:val="00837C6C"/>
    <w:rsid w:val="00841525"/>
    <w:rsid w:val="0084292C"/>
    <w:rsid w:val="00843D0F"/>
    <w:rsid w:val="00844A01"/>
    <w:rsid w:val="00847B28"/>
    <w:rsid w:val="00851647"/>
    <w:rsid w:val="008527A0"/>
    <w:rsid w:val="008657AF"/>
    <w:rsid w:val="0087176C"/>
    <w:rsid w:val="00877C21"/>
    <w:rsid w:val="00877F93"/>
    <w:rsid w:val="0088043E"/>
    <w:rsid w:val="0088160F"/>
    <w:rsid w:val="00881960"/>
    <w:rsid w:val="008839DB"/>
    <w:rsid w:val="00887801"/>
    <w:rsid w:val="00890AE9"/>
    <w:rsid w:val="008A7013"/>
    <w:rsid w:val="008A7A29"/>
    <w:rsid w:val="008B05C2"/>
    <w:rsid w:val="008B12FE"/>
    <w:rsid w:val="008B187A"/>
    <w:rsid w:val="008B3837"/>
    <w:rsid w:val="008B392C"/>
    <w:rsid w:val="008C1975"/>
    <w:rsid w:val="008C2107"/>
    <w:rsid w:val="008C3BA6"/>
    <w:rsid w:val="008C728F"/>
    <w:rsid w:val="008D02E6"/>
    <w:rsid w:val="008D7E67"/>
    <w:rsid w:val="008E58E5"/>
    <w:rsid w:val="008E7271"/>
    <w:rsid w:val="008F014B"/>
    <w:rsid w:val="008F1E0F"/>
    <w:rsid w:val="008F743D"/>
    <w:rsid w:val="0090094D"/>
    <w:rsid w:val="0090158F"/>
    <w:rsid w:val="009113A5"/>
    <w:rsid w:val="00916306"/>
    <w:rsid w:val="0091656B"/>
    <w:rsid w:val="00916EC8"/>
    <w:rsid w:val="00923372"/>
    <w:rsid w:val="009258E5"/>
    <w:rsid w:val="00925EA7"/>
    <w:rsid w:val="00933D26"/>
    <w:rsid w:val="00936314"/>
    <w:rsid w:val="00943F97"/>
    <w:rsid w:val="009471FB"/>
    <w:rsid w:val="00953256"/>
    <w:rsid w:val="00960C4B"/>
    <w:rsid w:val="009651AC"/>
    <w:rsid w:val="00967B8F"/>
    <w:rsid w:val="00970A41"/>
    <w:rsid w:val="00972360"/>
    <w:rsid w:val="00972FBA"/>
    <w:rsid w:val="0097558A"/>
    <w:rsid w:val="009833D6"/>
    <w:rsid w:val="00984440"/>
    <w:rsid w:val="009878E6"/>
    <w:rsid w:val="00993983"/>
    <w:rsid w:val="00997BBA"/>
    <w:rsid w:val="009A1B67"/>
    <w:rsid w:val="009A78D7"/>
    <w:rsid w:val="009B0972"/>
    <w:rsid w:val="009B5FB8"/>
    <w:rsid w:val="009B707B"/>
    <w:rsid w:val="009D1A32"/>
    <w:rsid w:val="009D30DF"/>
    <w:rsid w:val="009D6C4C"/>
    <w:rsid w:val="009E5BF1"/>
    <w:rsid w:val="009F1AE7"/>
    <w:rsid w:val="009F3CC4"/>
    <w:rsid w:val="009F59CA"/>
    <w:rsid w:val="009F5D2E"/>
    <w:rsid w:val="009F708D"/>
    <w:rsid w:val="00A02693"/>
    <w:rsid w:val="00A0417C"/>
    <w:rsid w:val="00A07EFF"/>
    <w:rsid w:val="00A119F5"/>
    <w:rsid w:val="00A12B4B"/>
    <w:rsid w:val="00A2290D"/>
    <w:rsid w:val="00A2394B"/>
    <w:rsid w:val="00A247A1"/>
    <w:rsid w:val="00A24C51"/>
    <w:rsid w:val="00A264A2"/>
    <w:rsid w:val="00A3031C"/>
    <w:rsid w:val="00A32879"/>
    <w:rsid w:val="00A3497B"/>
    <w:rsid w:val="00A34E75"/>
    <w:rsid w:val="00A36FA8"/>
    <w:rsid w:val="00A37CF0"/>
    <w:rsid w:val="00A41C83"/>
    <w:rsid w:val="00A424A7"/>
    <w:rsid w:val="00A465A6"/>
    <w:rsid w:val="00A50D3F"/>
    <w:rsid w:val="00A54383"/>
    <w:rsid w:val="00A60262"/>
    <w:rsid w:val="00A6261F"/>
    <w:rsid w:val="00A62C5D"/>
    <w:rsid w:val="00A62FE5"/>
    <w:rsid w:val="00A65789"/>
    <w:rsid w:val="00A674B4"/>
    <w:rsid w:val="00A8590A"/>
    <w:rsid w:val="00A867FC"/>
    <w:rsid w:val="00A9143D"/>
    <w:rsid w:val="00A92F4E"/>
    <w:rsid w:val="00AA1754"/>
    <w:rsid w:val="00AA74A3"/>
    <w:rsid w:val="00AA7993"/>
    <w:rsid w:val="00AB295A"/>
    <w:rsid w:val="00AB3D0B"/>
    <w:rsid w:val="00AB4754"/>
    <w:rsid w:val="00AB5C89"/>
    <w:rsid w:val="00AB6128"/>
    <w:rsid w:val="00AB7163"/>
    <w:rsid w:val="00AB7C91"/>
    <w:rsid w:val="00AC0921"/>
    <w:rsid w:val="00AC6ECF"/>
    <w:rsid w:val="00AD0970"/>
    <w:rsid w:val="00AD4F43"/>
    <w:rsid w:val="00AD7533"/>
    <w:rsid w:val="00AE6240"/>
    <w:rsid w:val="00AF4BA2"/>
    <w:rsid w:val="00AF5BFE"/>
    <w:rsid w:val="00B015A7"/>
    <w:rsid w:val="00B05008"/>
    <w:rsid w:val="00B127FD"/>
    <w:rsid w:val="00B12837"/>
    <w:rsid w:val="00B155E7"/>
    <w:rsid w:val="00B17165"/>
    <w:rsid w:val="00B224AB"/>
    <w:rsid w:val="00B34162"/>
    <w:rsid w:val="00B35308"/>
    <w:rsid w:val="00B412C2"/>
    <w:rsid w:val="00B44AAF"/>
    <w:rsid w:val="00B50AD0"/>
    <w:rsid w:val="00B50DC3"/>
    <w:rsid w:val="00B6448C"/>
    <w:rsid w:val="00B653B7"/>
    <w:rsid w:val="00B66891"/>
    <w:rsid w:val="00B679C5"/>
    <w:rsid w:val="00B75662"/>
    <w:rsid w:val="00B77F8D"/>
    <w:rsid w:val="00B80879"/>
    <w:rsid w:val="00B84B84"/>
    <w:rsid w:val="00B87D5E"/>
    <w:rsid w:val="00B93101"/>
    <w:rsid w:val="00BA267F"/>
    <w:rsid w:val="00BA370E"/>
    <w:rsid w:val="00BA462A"/>
    <w:rsid w:val="00BA5B62"/>
    <w:rsid w:val="00BA7AA1"/>
    <w:rsid w:val="00BB430F"/>
    <w:rsid w:val="00BB64C6"/>
    <w:rsid w:val="00BC02EA"/>
    <w:rsid w:val="00BC0EBE"/>
    <w:rsid w:val="00BC1690"/>
    <w:rsid w:val="00BC38AE"/>
    <w:rsid w:val="00BC4D15"/>
    <w:rsid w:val="00BC5278"/>
    <w:rsid w:val="00BC7288"/>
    <w:rsid w:val="00BD1653"/>
    <w:rsid w:val="00BE05B4"/>
    <w:rsid w:val="00BE18FA"/>
    <w:rsid w:val="00BE387B"/>
    <w:rsid w:val="00BE63D4"/>
    <w:rsid w:val="00BE7097"/>
    <w:rsid w:val="00BF378B"/>
    <w:rsid w:val="00BF47CF"/>
    <w:rsid w:val="00C062BF"/>
    <w:rsid w:val="00C07E86"/>
    <w:rsid w:val="00C104CA"/>
    <w:rsid w:val="00C10F3E"/>
    <w:rsid w:val="00C240AD"/>
    <w:rsid w:val="00C313EB"/>
    <w:rsid w:val="00C35FBA"/>
    <w:rsid w:val="00C3699E"/>
    <w:rsid w:val="00C414CA"/>
    <w:rsid w:val="00C44052"/>
    <w:rsid w:val="00C47A96"/>
    <w:rsid w:val="00C549AE"/>
    <w:rsid w:val="00C57FE2"/>
    <w:rsid w:val="00C60ED0"/>
    <w:rsid w:val="00C62973"/>
    <w:rsid w:val="00C63943"/>
    <w:rsid w:val="00C70530"/>
    <w:rsid w:val="00C82259"/>
    <w:rsid w:val="00C83CF9"/>
    <w:rsid w:val="00C875DB"/>
    <w:rsid w:val="00C87DD2"/>
    <w:rsid w:val="00C93D89"/>
    <w:rsid w:val="00CA3C5D"/>
    <w:rsid w:val="00CA5576"/>
    <w:rsid w:val="00CA64FC"/>
    <w:rsid w:val="00CA6C5E"/>
    <w:rsid w:val="00CA6FD1"/>
    <w:rsid w:val="00CA7CF0"/>
    <w:rsid w:val="00CB01EB"/>
    <w:rsid w:val="00CB7BF4"/>
    <w:rsid w:val="00CC78F8"/>
    <w:rsid w:val="00CD383F"/>
    <w:rsid w:val="00CD3B2B"/>
    <w:rsid w:val="00CD4B3D"/>
    <w:rsid w:val="00CE1983"/>
    <w:rsid w:val="00CE288C"/>
    <w:rsid w:val="00CE57D6"/>
    <w:rsid w:val="00CF1D8C"/>
    <w:rsid w:val="00CF45E2"/>
    <w:rsid w:val="00CF7E2D"/>
    <w:rsid w:val="00D0096E"/>
    <w:rsid w:val="00D07648"/>
    <w:rsid w:val="00D123EA"/>
    <w:rsid w:val="00D13729"/>
    <w:rsid w:val="00D151A7"/>
    <w:rsid w:val="00D15219"/>
    <w:rsid w:val="00D20A58"/>
    <w:rsid w:val="00D20ADC"/>
    <w:rsid w:val="00D224DF"/>
    <w:rsid w:val="00D256C1"/>
    <w:rsid w:val="00D25B62"/>
    <w:rsid w:val="00D25B8C"/>
    <w:rsid w:val="00D300A3"/>
    <w:rsid w:val="00D31C8F"/>
    <w:rsid w:val="00D35AB6"/>
    <w:rsid w:val="00D37545"/>
    <w:rsid w:val="00D4086E"/>
    <w:rsid w:val="00D40C95"/>
    <w:rsid w:val="00D4261E"/>
    <w:rsid w:val="00D4306F"/>
    <w:rsid w:val="00D479FF"/>
    <w:rsid w:val="00D559B5"/>
    <w:rsid w:val="00D566E4"/>
    <w:rsid w:val="00D57C42"/>
    <w:rsid w:val="00D61BC7"/>
    <w:rsid w:val="00D624F4"/>
    <w:rsid w:val="00D654FD"/>
    <w:rsid w:val="00D67331"/>
    <w:rsid w:val="00D67F07"/>
    <w:rsid w:val="00D731DA"/>
    <w:rsid w:val="00D7639B"/>
    <w:rsid w:val="00D8111F"/>
    <w:rsid w:val="00D814B0"/>
    <w:rsid w:val="00D82E19"/>
    <w:rsid w:val="00D92EDD"/>
    <w:rsid w:val="00D96F42"/>
    <w:rsid w:val="00DA2032"/>
    <w:rsid w:val="00DA58A5"/>
    <w:rsid w:val="00DA775E"/>
    <w:rsid w:val="00DB24AB"/>
    <w:rsid w:val="00DB2B25"/>
    <w:rsid w:val="00DB7B84"/>
    <w:rsid w:val="00DC08A8"/>
    <w:rsid w:val="00DC21F8"/>
    <w:rsid w:val="00DC479F"/>
    <w:rsid w:val="00DC4A33"/>
    <w:rsid w:val="00DD2958"/>
    <w:rsid w:val="00DD3065"/>
    <w:rsid w:val="00DD7B4A"/>
    <w:rsid w:val="00DE169A"/>
    <w:rsid w:val="00DF2B42"/>
    <w:rsid w:val="00DF66CB"/>
    <w:rsid w:val="00E013C7"/>
    <w:rsid w:val="00E02CAD"/>
    <w:rsid w:val="00E038B1"/>
    <w:rsid w:val="00E0458E"/>
    <w:rsid w:val="00E0528B"/>
    <w:rsid w:val="00E0698F"/>
    <w:rsid w:val="00E1517F"/>
    <w:rsid w:val="00E161B4"/>
    <w:rsid w:val="00E178FB"/>
    <w:rsid w:val="00E2088F"/>
    <w:rsid w:val="00E212A0"/>
    <w:rsid w:val="00E24F94"/>
    <w:rsid w:val="00E30AD2"/>
    <w:rsid w:val="00E33603"/>
    <w:rsid w:val="00E34668"/>
    <w:rsid w:val="00E3666E"/>
    <w:rsid w:val="00E405A8"/>
    <w:rsid w:val="00E41CB4"/>
    <w:rsid w:val="00E43CFD"/>
    <w:rsid w:val="00E55007"/>
    <w:rsid w:val="00E5630D"/>
    <w:rsid w:val="00E56B47"/>
    <w:rsid w:val="00E57A81"/>
    <w:rsid w:val="00E60598"/>
    <w:rsid w:val="00E60611"/>
    <w:rsid w:val="00E625B3"/>
    <w:rsid w:val="00E62B59"/>
    <w:rsid w:val="00E63455"/>
    <w:rsid w:val="00E63CCF"/>
    <w:rsid w:val="00E642F1"/>
    <w:rsid w:val="00E7065A"/>
    <w:rsid w:val="00E72489"/>
    <w:rsid w:val="00E73609"/>
    <w:rsid w:val="00E8555E"/>
    <w:rsid w:val="00E92336"/>
    <w:rsid w:val="00EA0C6F"/>
    <w:rsid w:val="00EA11A0"/>
    <w:rsid w:val="00EB13C7"/>
    <w:rsid w:val="00EB5169"/>
    <w:rsid w:val="00EB695A"/>
    <w:rsid w:val="00EC097C"/>
    <w:rsid w:val="00EC422D"/>
    <w:rsid w:val="00ED0001"/>
    <w:rsid w:val="00ED1EB7"/>
    <w:rsid w:val="00ED2C11"/>
    <w:rsid w:val="00ED6966"/>
    <w:rsid w:val="00ED7344"/>
    <w:rsid w:val="00EE042C"/>
    <w:rsid w:val="00EE1EB2"/>
    <w:rsid w:val="00EE4BC3"/>
    <w:rsid w:val="00EF35B4"/>
    <w:rsid w:val="00EF56F1"/>
    <w:rsid w:val="00EF7A38"/>
    <w:rsid w:val="00F00DFA"/>
    <w:rsid w:val="00F03EE6"/>
    <w:rsid w:val="00F07A8E"/>
    <w:rsid w:val="00F10326"/>
    <w:rsid w:val="00F11ADA"/>
    <w:rsid w:val="00F138F0"/>
    <w:rsid w:val="00F17DCC"/>
    <w:rsid w:val="00F3724E"/>
    <w:rsid w:val="00F4073A"/>
    <w:rsid w:val="00F574D9"/>
    <w:rsid w:val="00F65071"/>
    <w:rsid w:val="00F654D2"/>
    <w:rsid w:val="00F66C76"/>
    <w:rsid w:val="00F73102"/>
    <w:rsid w:val="00F75AB4"/>
    <w:rsid w:val="00F76C81"/>
    <w:rsid w:val="00F87DF0"/>
    <w:rsid w:val="00F93DD6"/>
    <w:rsid w:val="00F95AB2"/>
    <w:rsid w:val="00FA06EE"/>
    <w:rsid w:val="00FA14C7"/>
    <w:rsid w:val="00FA16F3"/>
    <w:rsid w:val="00FA496C"/>
    <w:rsid w:val="00FC120A"/>
    <w:rsid w:val="00FC2667"/>
    <w:rsid w:val="00FC3DF1"/>
    <w:rsid w:val="00FC411B"/>
    <w:rsid w:val="00FC4F52"/>
    <w:rsid w:val="00FC625B"/>
    <w:rsid w:val="00FD131B"/>
    <w:rsid w:val="00FD3FEC"/>
    <w:rsid w:val="00FD5A16"/>
    <w:rsid w:val="00FD650D"/>
    <w:rsid w:val="00FD700E"/>
    <w:rsid w:val="00FE1994"/>
    <w:rsid w:val="00FE1C13"/>
    <w:rsid w:val="00FE27C9"/>
    <w:rsid w:val="00FE437D"/>
    <w:rsid w:val="00FF0712"/>
    <w:rsid w:val="00FF2050"/>
    <w:rsid w:val="00FF27F1"/>
    <w:rsid w:val="00FF60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14:docId w14:val="1635E494"/>
  <w15:docId w15:val="{B141DE1B-10CD-4685-BECA-B55A2B0CF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0BE9"/>
    <w:pPr>
      <w:spacing w:before="120" w:after="120" w:line="360" w:lineRule="auto"/>
      <w:ind w:firstLine="709"/>
      <w:jc w:val="both"/>
    </w:pPr>
    <w:rPr>
      <w:rFonts w:ascii="Times New Roman" w:eastAsia="Times New Roman" w:hAnsi="Times New Roman"/>
      <w:sz w:val="24"/>
      <w:szCs w:val="24"/>
    </w:rPr>
  </w:style>
  <w:style w:type="paragraph" w:styleId="Ttulo1">
    <w:name w:val="heading 1"/>
    <w:basedOn w:val="Normal"/>
    <w:next w:val="Normal"/>
    <w:link w:val="Ttulo1Char"/>
    <w:qFormat/>
    <w:rsid w:val="00D20ADC"/>
    <w:pPr>
      <w:keepNext/>
      <w:outlineLvl w:val="0"/>
    </w:pPr>
    <w:rPr>
      <w:b/>
      <w:bCs/>
      <w:sz w:val="32"/>
    </w:rPr>
  </w:style>
  <w:style w:type="paragraph" w:styleId="Ttulo3">
    <w:name w:val="heading 3"/>
    <w:basedOn w:val="Normal"/>
    <w:next w:val="Normal"/>
    <w:link w:val="Ttulo3Char"/>
    <w:uiPriority w:val="9"/>
    <w:semiHidden/>
    <w:unhideWhenUsed/>
    <w:qFormat/>
    <w:rsid w:val="005D7742"/>
    <w:pPr>
      <w:keepNext/>
      <w:keepLines/>
      <w:spacing w:before="200"/>
      <w:outlineLvl w:val="2"/>
    </w:pPr>
    <w:rPr>
      <w:rFonts w:ascii="Cambria" w:hAnsi="Cambria"/>
      <w:b/>
      <w:bCs/>
      <w:color w:val="4F81BD"/>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D20ADC"/>
    <w:rPr>
      <w:rFonts w:ascii="Times New Roman" w:eastAsia="Times New Roman" w:hAnsi="Times New Roman" w:cs="Times New Roman"/>
      <w:b/>
      <w:bCs/>
      <w:sz w:val="32"/>
      <w:szCs w:val="24"/>
      <w:lang w:eastAsia="pt-BR"/>
    </w:rPr>
  </w:style>
  <w:style w:type="paragraph" w:styleId="NormalWeb">
    <w:name w:val="Normal (Web)"/>
    <w:basedOn w:val="Normal"/>
    <w:unhideWhenUsed/>
    <w:rsid w:val="00D20ADC"/>
    <w:pPr>
      <w:spacing w:before="100" w:beforeAutospacing="1" w:after="100" w:afterAutospacing="1"/>
    </w:pPr>
  </w:style>
  <w:style w:type="paragraph" w:styleId="Recuodecorpodetexto">
    <w:name w:val="Body Text Indent"/>
    <w:basedOn w:val="Normal"/>
    <w:link w:val="RecuodecorpodetextoChar"/>
    <w:semiHidden/>
    <w:unhideWhenUsed/>
    <w:rsid w:val="00D20ADC"/>
    <w:pPr>
      <w:ind w:firstLine="2124"/>
    </w:pPr>
    <w:rPr>
      <w:sz w:val="32"/>
    </w:rPr>
  </w:style>
  <w:style w:type="character" w:customStyle="1" w:styleId="RecuodecorpodetextoChar">
    <w:name w:val="Recuo de corpo de texto Char"/>
    <w:link w:val="Recuodecorpodetexto"/>
    <w:semiHidden/>
    <w:rsid w:val="00D20ADC"/>
    <w:rPr>
      <w:rFonts w:ascii="Times New Roman" w:eastAsia="Times New Roman" w:hAnsi="Times New Roman" w:cs="Times New Roman"/>
      <w:sz w:val="32"/>
      <w:szCs w:val="24"/>
      <w:lang w:eastAsia="pt-BR"/>
    </w:rPr>
  </w:style>
  <w:style w:type="paragraph" w:customStyle="1" w:styleId="texto1">
    <w:name w:val="texto1"/>
    <w:basedOn w:val="Normal"/>
    <w:rsid w:val="00D20ADC"/>
    <w:pPr>
      <w:spacing w:before="100" w:beforeAutospacing="1" w:after="100" w:afterAutospacing="1" w:line="480" w:lineRule="auto"/>
    </w:pPr>
    <w:rPr>
      <w:rFonts w:ascii="Verdana" w:hAnsi="Verdana"/>
      <w:sz w:val="15"/>
      <w:szCs w:val="15"/>
    </w:rPr>
  </w:style>
  <w:style w:type="paragraph" w:styleId="Cabealho">
    <w:name w:val="header"/>
    <w:basedOn w:val="Normal"/>
    <w:link w:val="CabealhoChar"/>
    <w:unhideWhenUsed/>
    <w:rsid w:val="00D0096E"/>
    <w:pPr>
      <w:tabs>
        <w:tab w:val="center" w:pos="4252"/>
        <w:tab w:val="right" w:pos="8504"/>
      </w:tabs>
    </w:pPr>
  </w:style>
  <w:style w:type="character" w:customStyle="1" w:styleId="CabealhoChar">
    <w:name w:val="Cabeçalho Char"/>
    <w:link w:val="Cabealho"/>
    <w:rsid w:val="00D0096E"/>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D0096E"/>
    <w:pPr>
      <w:tabs>
        <w:tab w:val="center" w:pos="4252"/>
        <w:tab w:val="right" w:pos="8504"/>
      </w:tabs>
    </w:pPr>
  </w:style>
  <w:style w:type="character" w:customStyle="1" w:styleId="RodapChar">
    <w:name w:val="Rodapé Char"/>
    <w:link w:val="Rodap"/>
    <w:uiPriority w:val="99"/>
    <w:rsid w:val="00D0096E"/>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D0096E"/>
    <w:rPr>
      <w:rFonts w:ascii="Tahoma" w:hAnsi="Tahoma"/>
      <w:sz w:val="16"/>
      <w:szCs w:val="16"/>
    </w:rPr>
  </w:style>
  <w:style w:type="character" w:customStyle="1" w:styleId="TextodebaloChar">
    <w:name w:val="Texto de balão Char"/>
    <w:link w:val="Textodebalo"/>
    <w:uiPriority w:val="99"/>
    <w:semiHidden/>
    <w:rsid w:val="00D0096E"/>
    <w:rPr>
      <w:rFonts w:ascii="Tahoma" w:eastAsia="Times New Roman" w:hAnsi="Tahoma" w:cs="Tahoma"/>
      <w:sz w:val="16"/>
      <w:szCs w:val="16"/>
      <w:lang w:eastAsia="pt-BR"/>
    </w:rPr>
  </w:style>
  <w:style w:type="table" w:styleId="Tabelacomgrade">
    <w:name w:val="Table Grid"/>
    <w:basedOn w:val="Tabelanormal"/>
    <w:rsid w:val="00D67F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notaderodap">
    <w:name w:val="footnote text"/>
    <w:basedOn w:val="Normal"/>
    <w:link w:val="TextodenotaderodapChar"/>
    <w:uiPriority w:val="99"/>
    <w:semiHidden/>
    <w:unhideWhenUsed/>
    <w:rsid w:val="00B66891"/>
    <w:rPr>
      <w:sz w:val="20"/>
      <w:szCs w:val="20"/>
    </w:rPr>
  </w:style>
  <w:style w:type="character" w:customStyle="1" w:styleId="TextodenotaderodapChar">
    <w:name w:val="Texto de nota de rodapé Char"/>
    <w:link w:val="Textodenotaderodap"/>
    <w:uiPriority w:val="99"/>
    <w:semiHidden/>
    <w:rsid w:val="00B66891"/>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B66891"/>
    <w:rPr>
      <w:vertAlign w:val="superscript"/>
    </w:rPr>
  </w:style>
  <w:style w:type="character" w:customStyle="1" w:styleId="Ttulo3Char">
    <w:name w:val="Título 3 Char"/>
    <w:link w:val="Ttulo3"/>
    <w:uiPriority w:val="9"/>
    <w:semiHidden/>
    <w:rsid w:val="005D7742"/>
    <w:rPr>
      <w:rFonts w:ascii="Cambria" w:eastAsia="Times New Roman" w:hAnsi="Cambria" w:cs="Times New Roman"/>
      <w:b/>
      <w:bCs/>
      <w:color w:val="4F81BD"/>
      <w:sz w:val="24"/>
      <w:szCs w:val="24"/>
      <w:lang w:eastAsia="pt-BR"/>
    </w:rPr>
  </w:style>
  <w:style w:type="character" w:styleId="Forte">
    <w:name w:val="Strong"/>
    <w:qFormat/>
    <w:rsid w:val="005D7742"/>
    <w:rPr>
      <w:b/>
      <w:bCs/>
    </w:rPr>
  </w:style>
  <w:style w:type="paragraph" w:styleId="PargrafodaLista">
    <w:name w:val="List Paragraph"/>
    <w:basedOn w:val="Normal"/>
    <w:link w:val="PargrafodaListaChar"/>
    <w:uiPriority w:val="34"/>
    <w:qFormat/>
    <w:rsid w:val="00FE1994"/>
    <w:pPr>
      <w:ind w:left="720"/>
      <w:contextualSpacing/>
    </w:pPr>
  </w:style>
  <w:style w:type="paragraph" w:styleId="Pr-formataoHTML">
    <w:name w:val="HTML Preformatted"/>
    <w:basedOn w:val="Normal"/>
    <w:link w:val="Pr-formataoHTMLChar"/>
    <w:unhideWhenUsed/>
    <w:rsid w:val="00D30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29387B"/>
      <w:sz w:val="18"/>
      <w:szCs w:val="18"/>
      <w:lang w:eastAsia="en-US"/>
    </w:rPr>
  </w:style>
  <w:style w:type="character" w:customStyle="1" w:styleId="Pr-formataoHTMLChar">
    <w:name w:val="Pré-formatação HTML Char"/>
    <w:link w:val="Pr-formataoHTML"/>
    <w:rsid w:val="00D300A3"/>
    <w:rPr>
      <w:rFonts w:ascii="Courier New" w:eastAsia="Times New Roman" w:hAnsi="Courier New"/>
      <w:color w:val="29387B"/>
      <w:sz w:val="18"/>
      <w:szCs w:val="18"/>
      <w:lang w:eastAsia="en-US"/>
    </w:rPr>
  </w:style>
  <w:style w:type="paragraph" w:customStyle="1" w:styleId="Monog1texto">
    <w:name w:val="Monog_1_texto"/>
    <w:qFormat/>
    <w:rsid w:val="00D300A3"/>
    <w:pPr>
      <w:widowControl w:val="0"/>
      <w:spacing w:line="360" w:lineRule="auto"/>
      <w:ind w:firstLine="851"/>
      <w:jc w:val="both"/>
    </w:pPr>
    <w:rPr>
      <w:rFonts w:ascii="Times New Roman" w:eastAsia="Times New Roman" w:hAnsi="Times New Roman"/>
      <w:sz w:val="24"/>
      <w:szCs w:val="24"/>
    </w:rPr>
  </w:style>
  <w:style w:type="character" w:styleId="nfase">
    <w:name w:val="Emphasis"/>
    <w:uiPriority w:val="20"/>
    <w:qFormat/>
    <w:rsid w:val="00305C2F"/>
    <w:rPr>
      <w:b/>
      <w:bCs/>
      <w:i w:val="0"/>
      <w:iCs w:val="0"/>
    </w:rPr>
  </w:style>
  <w:style w:type="paragraph" w:customStyle="1" w:styleId="Default">
    <w:name w:val="Default"/>
    <w:basedOn w:val="Normal"/>
    <w:rsid w:val="00194AD8"/>
    <w:pPr>
      <w:autoSpaceDE w:val="0"/>
      <w:autoSpaceDN w:val="0"/>
    </w:pPr>
    <w:rPr>
      <w:rFonts w:eastAsia="Calibri"/>
      <w:color w:val="000000"/>
      <w:lang w:eastAsia="en-US"/>
    </w:rPr>
  </w:style>
  <w:style w:type="character" w:customStyle="1" w:styleId="PargrafodaListaChar">
    <w:name w:val="Parágrafo da Lista Char"/>
    <w:link w:val="PargrafodaLista"/>
    <w:uiPriority w:val="34"/>
    <w:rsid w:val="00D559B5"/>
    <w:rPr>
      <w:rFonts w:ascii="Times New Roman" w:eastAsia="Times New Roman" w:hAnsi="Times New Roman"/>
      <w:sz w:val="24"/>
      <w:szCs w:val="24"/>
    </w:rPr>
  </w:style>
  <w:style w:type="character" w:styleId="TextodoEspaoReservado">
    <w:name w:val="Placeholder Text"/>
    <w:basedOn w:val="Fontepargpadro"/>
    <w:uiPriority w:val="99"/>
    <w:semiHidden/>
    <w:rsid w:val="00F75AB4"/>
    <w:rPr>
      <w:color w:val="808080"/>
    </w:rPr>
  </w:style>
  <w:style w:type="paragraph" w:styleId="Legenda">
    <w:name w:val="caption"/>
    <w:basedOn w:val="Normal"/>
    <w:next w:val="Normal"/>
    <w:uiPriority w:val="35"/>
    <w:unhideWhenUsed/>
    <w:qFormat/>
    <w:rsid w:val="00DF2B42"/>
    <w:pPr>
      <w:spacing w:before="0" w:after="200" w:line="240" w:lineRule="auto"/>
    </w:pPr>
    <w:rPr>
      <w:i/>
      <w:iCs/>
      <w:color w:val="000000" w:themeColor="text1"/>
      <w:sz w:val="20"/>
      <w:szCs w:val="18"/>
    </w:rPr>
  </w:style>
  <w:style w:type="table" w:customStyle="1" w:styleId="TabeladeGrade4-nfase51">
    <w:name w:val="Tabela de Grade 4 - Ênfase 51"/>
    <w:basedOn w:val="Tabelanormal"/>
    <w:uiPriority w:val="49"/>
    <w:rsid w:val="00CA6C5E"/>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Refdecomentrio">
    <w:name w:val="annotation reference"/>
    <w:basedOn w:val="Fontepargpadro"/>
    <w:uiPriority w:val="99"/>
    <w:semiHidden/>
    <w:unhideWhenUsed/>
    <w:rsid w:val="00B653B7"/>
    <w:rPr>
      <w:sz w:val="16"/>
      <w:szCs w:val="16"/>
    </w:rPr>
  </w:style>
  <w:style w:type="paragraph" w:styleId="Textodecomentrio">
    <w:name w:val="annotation text"/>
    <w:basedOn w:val="Normal"/>
    <w:link w:val="TextodecomentrioChar"/>
    <w:uiPriority w:val="99"/>
    <w:semiHidden/>
    <w:unhideWhenUsed/>
    <w:rsid w:val="00B653B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653B7"/>
    <w:rPr>
      <w:rFonts w:ascii="Times New Roman" w:eastAsia="Times New Roman" w:hAnsi="Times New Roman"/>
    </w:rPr>
  </w:style>
  <w:style w:type="paragraph" w:styleId="Assuntodocomentrio">
    <w:name w:val="annotation subject"/>
    <w:basedOn w:val="Textodecomentrio"/>
    <w:next w:val="Textodecomentrio"/>
    <w:link w:val="AssuntodocomentrioChar"/>
    <w:uiPriority w:val="99"/>
    <w:semiHidden/>
    <w:unhideWhenUsed/>
    <w:rsid w:val="00B653B7"/>
    <w:rPr>
      <w:b/>
      <w:bCs/>
    </w:rPr>
  </w:style>
  <w:style w:type="character" w:customStyle="1" w:styleId="AssuntodocomentrioChar">
    <w:name w:val="Assunto do comentário Char"/>
    <w:basedOn w:val="TextodecomentrioChar"/>
    <w:link w:val="Assuntodocomentrio"/>
    <w:uiPriority w:val="99"/>
    <w:semiHidden/>
    <w:rsid w:val="00B653B7"/>
    <w:rPr>
      <w:rFonts w:ascii="Times New Roman" w:eastAsia="Times New Roman" w:hAnsi="Times New Roman"/>
      <w:b/>
      <w:bCs/>
    </w:rPr>
  </w:style>
  <w:style w:type="paragraph" w:styleId="Reviso">
    <w:name w:val="Revision"/>
    <w:hidden/>
    <w:uiPriority w:val="99"/>
    <w:semiHidden/>
    <w:rsid w:val="00B653B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9878">
      <w:bodyDiv w:val="1"/>
      <w:marLeft w:val="0"/>
      <w:marRight w:val="0"/>
      <w:marTop w:val="0"/>
      <w:marBottom w:val="0"/>
      <w:divBdr>
        <w:top w:val="none" w:sz="0" w:space="0" w:color="auto"/>
        <w:left w:val="none" w:sz="0" w:space="0" w:color="auto"/>
        <w:bottom w:val="none" w:sz="0" w:space="0" w:color="auto"/>
        <w:right w:val="none" w:sz="0" w:space="0" w:color="auto"/>
      </w:divBdr>
    </w:div>
    <w:div w:id="29688886">
      <w:bodyDiv w:val="1"/>
      <w:marLeft w:val="0"/>
      <w:marRight w:val="0"/>
      <w:marTop w:val="0"/>
      <w:marBottom w:val="0"/>
      <w:divBdr>
        <w:top w:val="none" w:sz="0" w:space="0" w:color="auto"/>
        <w:left w:val="none" w:sz="0" w:space="0" w:color="auto"/>
        <w:bottom w:val="none" w:sz="0" w:space="0" w:color="auto"/>
        <w:right w:val="none" w:sz="0" w:space="0" w:color="auto"/>
      </w:divBdr>
    </w:div>
    <w:div w:id="206143429">
      <w:bodyDiv w:val="1"/>
      <w:marLeft w:val="0"/>
      <w:marRight w:val="0"/>
      <w:marTop w:val="0"/>
      <w:marBottom w:val="0"/>
      <w:divBdr>
        <w:top w:val="none" w:sz="0" w:space="0" w:color="auto"/>
        <w:left w:val="none" w:sz="0" w:space="0" w:color="auto"/>
        <w:bottom w:val="none" w:sz="0" w:space="0" w:color="auto"/>
        <w:right w:val="none" w:sz="0" w:space="0" w:color="auto"/>
      </w:divBdr>
    </w:div>
    <w:div w:id="401677231">
      <w:bodyDiv w:val="1"/>
      <w:marLeft w:val="0"/>
      <w:marRight w:val="0"/>
      <w:marTop w:val="0"/>
      <w:marBottom w:val="0"/>
      <w:divBdr>
        <w:top w:val="none" w:sz="0" w:space="0" w:color="auto"/>
        <w:left w:val="none" w:sz="0" w:space="0" w:color="auto"/>
        <w:bottom w:val="none" w:sz="0" w:space="0" w:color="auto"/>
        <w:right w:val="none" w:sz="0" w:space="0" w:color="auto"/>
      </w:divBdr>
    </w:div>
    <w:div w:id="406152823">
      <w:bodyDiv w:val="1"/>
      <w:marLeft w:val="0"/>
      <w:marRight w:val="0"/>
      <w:marTop w:val="0"/>
      <w:marBottom w:val="0"/>
      <w:divBdr>
        <w:top w:val="none" w:sz="0" w:space="0" w:color="auto"/>
        <w:left w:val="none" w:sz="0" w:space="0" w:color="auto"/>
        <w:bottom w:val="none" w:sz="0" w:space="0" w:color="auto"/>
        <w:right w:val="none" w:sz="0" w:space="0" w:color="auto"/>
      </w:divBdr>
    </w:div>
    <w:div w:id="507603362">
      <w:bodyDiv w:val="1"/>
      <w:marLeft w:val="0"/>
      <w:marRight w:val="0"/>
      <w:marTop w:val="0"/>
      <w:marBottom w:val="0"/>
      <w:divBdr>
        <w:top w:val="none" w:sz="0" w:space="0" w:color="auto"/>
        <w:left w:val="none" w:sz="0" w:space="0" w:color="auto"/>
        <w:bottom w:val="none" w:sz="0" w:space="0" w:color="auto"/>
        <w:right w:val="none" w:sz="0" w:space="0" w:color="auto"/>
      </w:divBdr>
      <w:divsChild>
        <w:div w:id="542669676">
          <w:marLeft w:val="0"/>
          <w:marRight w:val="0"/>
          <w:marTop w:val="0"/>
          <w:marBottom w:val="0"/>
          <w:divBdr>
            <w:top w:val="none" w:sz="0" w:space="0" w:color="auto"/>
            <w:left w:val="none" w:sz="0" w:space="0" w:color="auto"/>
            <w:bottom w:val="none" w:sz="0" w:space="0" w:color="auto"/>
            <w:right w:val="none" w:sz="0" w:space="0" w:color="auto"/>
          </w:divBdr>
        </w:div>
        <w:div w:id="1305161223">
          <w:marLeft w:val="0"/>
          <w:marRight w:val="0"/>
          <w:marTop w:val="0"/>
          <w:marBottom w:val="0"/>
          <w:divBdr>
            <w:top w:val="none" w:sz="0" w:space="0" w:color="auto"/>
            <w:left w:val="none" w:sz="0" w:space="0" w:color="auto"/>
            <w:bottom w:val="none" w:sz="0" w:space="0" w:color="auto"/>
            <w:right w:val="none" w:sz="0" w:space="0" w:color="auto"/>
          </w:divBdr>
        </w:div>
        <w:div w:id="1383405350">
          <w:marLeft w:val="0"/>
          <w:marRight w:val="0"/>
          <w:marTop w:val="0"/>
          <w:marBottom w:val="0"/>
          <w:divBdr>
            <w:top w:val="none" w:sz="0" w:space="0" w:color="auto"/>
            <w:left w:val="none" w:sz="0" w:space="0" w:color="auto"/>
            <w:bottom w:val="none" w:sz="0" w:space="0" w:color="auto"/>
            <w:right w:val="none" w:sz="0" w:space="0" w:color="auto"/>
          </w:divBdr>
        </w:div>
        <w:div w:id="1911884353">
          <w:marLeft w:val="0"/>
          <w:marRight w:val="0"/>
          <w:marTop w:val="0"/>
          <w:marBottom w:val="0"/>
          <w:divBdr>
            <w:top w:val="none" w:sz="0" w:space="0" w:color="auto"/>
            <w:left w:val="none" w:sz="0" w:space="0" w:color="auto"/>
            <w:bottom w:val="none" w:sz="0" w:space="0" w:color="auto"/>
            <w:right w:val="none" w:sz="0" w:space="0" w:color="auto"/>
          </w:divBdr>
          <w:divsChild>
            <w:div w:id="597522860">
              <w:marLeft w:val="0"/>
              <w:marRight w:val="0"/>
              <w:marTop w:val="0"/>
              <w:marBottom w:val="0"/>
              <w:divBdr>
                <w:top w:val="none" w:sz="0" w:space="0" w:color="auto"/>
                <w:left w:val="none" w:sz="0" w:space="0" w:color="auto"/>
                <w:bottom w:val="none" w:sz="0" w:space="0" w:color="auto"/>
                <w:right w:val="none" w:sz="0" w:space="0" w:color="auto"/>
              </w:divBdr>
              <w:divsChild>
                <w:div w:id="51542555">
                  <w:marLeft w:val="0"/>
                  <w:marRight w:val="0"/>
                  <w:marTop w:val="0"/>
                  <w:marBottom w:val="0"/>
                  <w:divBdr>
                    <w:top w:val="none" w:sz="0" w:space="0" w:color="auto"/>
                    <w:left w:val="none" w:sz="0" w:space="0" w:color="auto"/>
                    <w:bottom w:val="none" w:sz="0" w:space="0" w:color="auto"/>
                    <w:right w:val="none" w:sz="0" w:space="0" w:color="auto"/>
                  </w:divBdr>
                </w:div>
                <w:div w:id="168913021">
                  <w:marLeft w:val="0"/>
                  <w:marRight w:val="0"/>
                  <w:marTop w:val="0"/>
                  <w:marBottom w:val="0"/>
                  <w:divBdr>
                    <w:top w:val="none" w:sz="0" w:space="0" w:color="auto"/>
                    <w:left w:val="none" w:sz="0" w:space="0" w:color="auto"/>
                    <w:bottom w:val="none" w:sz="0" w:space="0" w:color="auto"/>
                    <w:right w:val="none" w:sz="0" w:space="0" w:color="auto"/>
                  </w:divBdr>
                </w:div>
                <w:div w:id="197938005">
                  <w:marLeft w:val="0"/>
                  <w:marRight w:val="0"/>
                  <w:marTop w:val="0"/>
                  <w:marBottom w:val="0"/>
                  <w:divBdr>
                    <w:top w:val="none" w:sz="0" w:space="0" w:color="auto"/>
                    <w:left w:val="none" w:sz="0" w:space="0" w:color="auto"/>
                    <w:bottom w:val="none" w:sz="0" w:space="0" w:color="auto"/>
                    <w:right w:val="none" w:sz="0" w:space="0" w:color="auto"/>
                  </w:divBdr>
                </w:div>
                <w:div w:id="250479932">
                  <w:marLeft w:val="0"/>
                  <w:marRight w:val="0"/>
                  <w:marTop w:val="0"/>
                  <w:marBottom w:val="0"/>
                  <w:divBdr>
                    <w:top w:val="none" w:sz="0" w:space="0" w:color="auto"/>
                    <w:left w:val="none" w:sz="0" w:space="0" w:color="auto"/>
                    <w:bottom w:val="none" w:sz="0" w:space="0" w:color="auto"/>
                    <w:right w:val="none" w:sz="0" w:space="0" w:color="auto"/>
                  </w:divBdr>
                </w:div>
                <w:div w:id="252708194">
                  <w:marLeft w:val="0"/>
                  <w:marRight w:val="0"/>
                  <w:marTop w:val="0"/>
                  <w:marBottom w:val="0"/>
                  <w:divBdr>
                    <w:top w:val="none" w:sz="0" w:space="0" w:color="auto"/>
                    <w:left w:val="none" w:sz="0" w:space="0" w:color="auto"/>
                    <w:bottom w:val="none" w:sz="0" w:space="0" w:color="auto"/>
                    <w:right w:val="none" w:sz="0" w:space="0" w:color="auto"/>
                  </w:divBdr>
                </w:div>
                <w:div w:id="562984250">
                  <w:marLeft w:val="0"/>
                  <w:marRight w:val="0"/>
                  <w:marTop w:val="0"/>
                  <w:marBottom w:val="0"/>
                  <w:divBdr>
                    <w:top w:val="none" w:sz="0" w:space="0" w:color="auto"/>
                    <w:left w:val="none" w:sz="0" w:space="0" w:color="auto"/>
                    <w:bottom w:val="none" w:sz="0" w:space="0" w:color="auto"/>
                    <w:right w:val="none" w:sz="0" w:space="0" w:color="auto"/>
                  </w:divBdr>
                </w:div>
                <w:div w:id="570578678">
                  <w:marLeft w:val="0"/>
                  <w:marRight w:val="0"/>
                  <w:marTop w:val="0"/>
                  <w:marBottom w:val="0"/>
                  <w:divBdr>
                    <w:top w:val="none" w:sz="0" w:space="0" w:color="auto"/>
                    <w:left w:val="none" w:sz="0" w:space="0" w:color="auto"/>
                    <w:bottom w:val="none" w:sz="0" w:space="0" w:color="auto"/>
                    <w:right w:val="none" w:sz="0" w:space="0" w:color="auto"/>
                  </w:divBdr>
                </w:div>
                <w:div w:id="599948941">
                  <w:marLeft w:val="0"/>
                  <w:marRight w:val="0"/>
                  <w:marTop w:val="0"/>
                  <w:marBottom w:val="0"/>
                  <w:divBdr>
                    <w:top w:val="none" w:sz="0" w:space="0" w:color="auto"/>
                    <w:left w:val="none" w:sz="0" w:space="0" w:color="auto"/>
                    <w:bottom w:val="none" w:sz="0" w:space="0" w:color="auto"/>
                    <w:right w:val="none" w:sz="0" w:space="0" w:color="auto"/>
                  </w:divBdr>
                </w:div>
                <w:div w:id="736323127">
                  <w:marLeft w:val="0"/>
                  <w:marRight w:val="0"/>
                  <w:marTop w:val="0"/>
                  <w:marBottom w:val="0"/>
                  <w:divBdr>
                    <w:top w:val="none" w:sz="0" w:space="0" w:color="auto"/>
                    <w:left w:val="none" w:sz="0" w:space="0" w:color="auto"/>
                    <w:bottom w:val="none" w:sz="0" w:space="0" w:color="auto"/>
                    <w:right w:val="none" w:sz="0" w:space="0" w:color="auto"/>
                  </w:divBdr>
                </w:div>
                <w:div w:id="984972943">
                  <w:marLeft w:val="0"/>
                  <w:marRight w:val="0"/>
                  <w:marTop w:val="0"/>
                  <w:marBottom w:val="0"/>
                  <w:divBdr>
                    <w:top w:val="none" w:sz="0" w:space="0" w:color="auto"/>
                    <w:left w:val="none" w:sz="0" w:space="0" w:color="auto"/>
                    <w:bottom w:val="none" w:sz="0" w:space="0" w:color="auto"/>
                    <w:right w:val="none" w:sz="0" w:space="0" w:color="auto"/>
                  </w:divBdr>
                </w:div>
                <w:div w:id="1001548975">
                  <w:marLeft w:val="0"/>
                  <w:marRight w:val="0"/>
                  <w:marTop w:val="0"/>
                  <w:marBottom w:val="0"/>
                  <w:divBdr>
                    <w:top w:val="none" w:sz="0" w:space="0" w:color="auto"/>
                    <w:left w:val="none" w:sz="0" w:space="0" w:color="auto"/>
                    <w:bottom w:val="none" w:sz="0" w:space="0" w:color="auto"/>
                    <w:right w:val="none" w:sz="0" w:space="0" w:color="auto"/>
                  </w:divBdr>
                </w:div>
                <w:div w:id="1050807120">
                  <w:marLeft w:val="0"/>
                  <w:marRight w:val="0"/>
                  <w:marTop w:val="0"/>
                  <w:marBottom w:val="0"/>
                  <w:divBdr>
                    <w:top w:val="none" w:sz="0" w:space="0" w:color="auto"/>
                    <w:left w:val="none" w:sz="0" w:space="0" w:color="auto"/>
                    <w:bottom w:val="none" w:sz="0" w:space="0" w:color="auto"/>
                    <w:right w:val="none" w:sz="0" w:space="0" w:color="auto"/>
                  </w:divBdr>
                </w:div>
                <w:div w:id="1074010218">
                  <w:marLeft w:val="0"/>
                  <w:marRight w:val="0"/>
                  <w:marTop w:val="0"/>
                  <w:marBottom w:val="0"/>
                  <w:divBdr>
                    <w:top w:val="none" w:sz="0" w:space="0" w:color="auto"/>
                    <w:left w:val="none" w:sz="0" w:space="0" w:color="auto"/>
                    <w:bottom w:val="none" w:sz="0" w:space="0" w:color="auto"/>
                    <w:right w:val="none" w:sz="0" w:space="0" w:color="auto"/>
                  </w:divBdr>
                </w:div>
                <w:div w:id="1310594384">
                  <w:marLeft w:val="0"/>
                  <w:marRight w:val="0"/>
                  <w:marTop w:val="0"/>
                  <w:marBottom w:val="0"/>
                  <w:divBdr>
                    <w:top w:val="none" w:sz="0" w:space="0" w:color="auto"/>
                    <w:left w:val="none" w:sz="0" w:space="0" w:color="auto"/>
                    <w:bottom w:val="none" w:sz="0" w:space="0" w:color="auto"/>
                    <w:right w:val="none" w:sz="0" w:space="0" w:color="auto"/>
                  </w:divBdr>
                </w:div>
                <w:div w:id="1323968573">
                  <w:marLeft w:val="0"/>
                  <w:marRight w:val="0"/>
                  <w:marTop w:val="0"/>
                  <w:marBottom w:val="0"/>
                  <w:divBdr>
                    <w:top w:val="none" w:sz="0" w:space="0" w:color="auto"/>
                    <w:left w:val="none" w:sz="0" w:space="0" w:color="auto"/>
                    <w:bottom w:val="none" w:sz="0" w:space="0" w:color="auto"/>
                    <w:right w:val="none" w:sz="0" w:space="0" w:color="auto"/>
                  </w:divBdr>
                </w:div>
                <w:div w:id="1406218106">
                  <w:marLeft w:val="0"/>
                  <w:marRight w:val="0"/>
                  <w:marTop w:val="0"/>
                  <w:marBottom w:val="0"/>
                  <w:divBdr>
                    <w:top w:val="none" w:sz="0" w:space="0" w:color="auto"/>
                    <w:left w:val="none" w:sz="0" w:space="0" w:color="auto"/>
                    <w:bottom w:val="none" w:sz="0" w:space="0" w:color="auto"/>
                    <w:right w:val="none" w:sz="0" w:space="0" w:color="auto"/>
                  </w:divBdr>
                </w:div>
                <w:div w:id="1420298540">
                  <w:marLeft w:val="0"/>
                  <w:marRight w:val="0"/>
                  <w:marTop w:val="0"/>
                  <w:marBottom w:val="0"/>
                  <w:divBdr>
                    <w:top w:val="none" w:sz="0" w:space="0" w:color="auto"/>
                    <w:left w:val="none" w:sz="0" w:space="0" w:color="auto"/>
                    <w:bottom w:val="none" w:sz="0" w:space="0" w:color="auto"/>
                    <w:right w:val="none" w:sz="0" w:space="0" w:color="auto"/>
                  </w:divBdr>
                </w:div>
                <w:div w:id="1454443356">
                  <w:marLeft w:val="0"/>
                  <w:marRight w:val="0"/>
                  <w:marTop w:val="0"/>
                  <w:marBottom w:val="0"/>
                  <w:divBdr>
                    <w:top w:val="none" w:sz="0" w:space="0" w:color="auto"/>
                    <w:left w:val="none" w:sz="0" w:space="0" w:color="auto"/>
                    <w:bottom w:val="none" w:sz="0" w:space="0" w:color="auto"/>
                    <w:right w:val="none" w:sz="0" w:space="0" w:color="auto"/>
                  </w:divBdr>
                </w:div>
                <w:div w:id="1494376857">
                  <w:marLeft w:val="0"/>
                  <w:marRight w:val="0"/>
                  <w:marTop w:val="0"/>
                  <w:marBottom w:val="0"/>
                  <w:divBdr>
                    <w:top w:val="none" w:sz="0" w:space="0" w:color="auto"/>
                    <w:left w:val="none" w:sz="0" w:space="0" w:color="auto"/>
                    <w:bottom w:val="none" w:sz="0" w:space="0" w:color="auto"/>
                    <w:right w:val="none" w:sz="0" w:space="0" w:color="auto"/>
                  </w:divBdr>
                </w:div>
                <w:div w:id="1664697657">
                  <w:marLeft w:val="0"/>
                  <w:marRight w:val="0"/>
                  <w:marTop w:val="0"/>
                  <w:marBottom w:val="0"/>
                  <w:divBdr>
                    <w:top w:val="none" w:sz="0" w:space="0" w:color="auto"/>
                    <w:left w:val="none" w:sz="0" w:space="0" w:color="auto"/>
                    <w:bottom w:val="none" w:sz="0" w:space="0" w:color="auto"/>
                    <w:right w:val="none" w:sz="0" w:space="0" w:color="auto"/>
                  </w:divBdr>
                </w:div>
                <w:div w:id="1752971408">
                  <w:marLeft w:val="0"/>
                  <w:marRight w:val="0"/>
                  <w:marTop w:val="0"/>
                  <w:marBottom w:val="0"/>
                  <w:divBdr>
                    <w:top w:val="none" w:sz="0" w:space="0" w:color="auto"/>
                    <w:left w:val="none" w:sz="0" w:space="0" w:color="auto"/>
                    <w:bottom w:val="none" w:sz="0" w:space="0" w:color="auto"/>
                    <w:right w:val="none" w:sz="0" w:space="0" w:color="auto"/>
                  </w:divBdr>
                </w:div>
                <w:div w:id="1786196287">
                  <w:marLeft w:val="0"/>
                  <w:marRight w:val="0"/>
                  <w:marTop w:val="0"/>
                  <w:marBottom w:val="0"/>
                  <w:divBdr>
                    <w:top w:val="none" w:sz="0" w:space="0" w:color="auto"/>
                    <w:left w:val="none" w:sz="0" w:space="0" w:color="auto"/>
                    <w:bottom w:val="none" w:sz="0" w:space="0" w:color="auto"/>
                    <w:right w:val="none" w:sz="0" w:space="0" w:color="auto"/>
                  </w:divBdr>
                </w:div>
                <w:div w:id="1911193012">
                  <w:marLeft w:val="0"/>
                  <w:marRight w:val="0"/>
                  <w:marTop w:val="0"/>
                  <w:marBottom w:val="0"/>
                  <w:divBdr>
                    <w:top w:val="none" w:sz="0" w:space="0" w:color="auto"/>
                    <w:left w:val="none" w:sz="0" w:space="0" w:color="auto"/>
                    <w:bottom w:val="none" w:sz="0" w:space="0" w:color="auto"/>
                    <w:right w:val="none" w:sz="0" w:space="0" w:color="auto"/>
                  </w:divBdr>
                </w:div>
                <w:div w:id="207712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168668">
          <w:marLeft w:val="0"/>
          <w:marRight w:val="0"/>
          <w:marTop w:val="0"/>
          <w:marBottom w:val="0"/>
          <w:divBdr>
            <w:top w:val="none" w:sz="0" w:space="0" w:color="auto"/>
            <w:left w:val="none" w:sz="0" w:space="0" w:color="auto"/>
            <w:bottom w:val="none" w:sz="0" w:space="0" w:color="auto"/>
            <w:right w:val="none" w:sz="0" w:space="0" w:color="auto"/>
          </w:divBdr>
        </w:div>
      </w:divsChild>
    </w:div>
    <w:div w:id="548496106">
      <w:bodyDiv w:val="1"/>
      <w:marLeft w:val="0"/>
      <w:marRight w:val="0"/>
      <w:marTop w:val="0"/>
      <w:marBottom w:val="0"/>
      <w:divBdr>
        <w:top w:val="none" w:sz="0" w:space="0" w:color="auto"/>
        <w:left w:val="none" w:sz="0" w:space="0" w:color="auto"/>
        <w:bottom w:val="none" w:sz="0" w:space="0" w:color="auto"/>
        <w:right w:val="none" w:sz="0" w:space="0" w:color="auto"/>
      </w:divBdr>
    </w:div>
    <w:div w:id="613094981">
      <w:bodyDiv w:val="1"/>
      <w:marLeft w:val="0"/>
      <w:marRight w:val="0"/>
      <w:marTop w:val="0"/>
      <w:marBottom w:val="0"/>
      <w:divBdr>
        <w:top w:val="none" w:sz="0" w:space="0" w:color="auto"/>
        <w:left w:val="none" w:sz="0" w:space="0" w:color="auto"/>
        <w:bottom w:val="none" w:sz="0" w:space="0" w:color="auto"/>
        <w:right w:val="none" w:sz="0" w:space="0" w:color="auto"/>
      </w:divBdr>
    </w:div>
    <w:div w:id="827482796">
      <w:bodyDiv w:val="1"/>
      <w:marLeft w:val="0"/>
      <w:marRight w:val="0"/>
      <w:marTop w:val="0"/>
      <w:marBottom w:val="0"/>
      <w:divBdr>
        <w:top w:val="none" w:sz="0" w:space="0" w:color="auto"/>
        <w:left w:val="none" w:sz="0" w:space="0" w:color="auto"/>
        <w:bottom w:val="none" w:sz="0" w:space="0" w:color="auto"/>
        <w:right w:val="none" w:sz="0" w:space="0" w:color="auto"/>
      </w:divBdr>
    </w:div>
    <w:div w:id="917597591">
      <w:bodyDiv w:val="1"/>
      <w:marLeft w:val="0"/>
      <w:marRight w:val="0"/>
      <w:marTop w:val="0"/>
      <w:marBottom w:val="0"/>
      <w:divBdr>
        <w:top w:val="none" w:sz="0" w:space="0" w:color="auto"/>
        <w:left w:val="none" w:sz="0" w:space="0" w:color="auto"/>
        <w:bottom w:val="none" w:sz="0" w:space="0" w:color="auto"/>
        <w:right w:val="none" w:sz="0" w:space="0" w:color="auto"/>
      </w:divBdr>
    </w:div>
    <w:div w:id="939945320">
      <w:bodyDiv w:val="1"/>
      <w:marLeft w:val="0"/>
      <w:marRight w:val="0"/>
      <w:marTop w:val="0"/>
      <w:marBottom w:val="0"/>
      <w:divBdr>
        <w:top w:val="none" w:sz="0" w:space="0" w:color="auto"/>
        <w:left w:val="none" w:sz="0" w:space="0" w:color="auto"/>
        <w:bottom w:val="none" w:sz="0" w:space="0" w:color="auto"/>
        <w:right w:val="none" w:sz="0" w:space="0" w:color="auto"/>
      </w:divBdr>
    </w:div>
    <w:div w:id="974258989">
      <w:bodyDiv w:val="1"/>
      <w:marLeft w:val="0"/>
      <w:marRight w:val="0"/>
      <w:marTop w:val="0"/>
      <w:marBottom w:val="0"/>
      <w:divBdr>
        <w:top w:val="none" w:sz="0" w:space="0" w:color="auto"/>
        <w:left w:val="none" w:sz="0" w:space="0" w:color="auto"/>
        <w:bottom w:val="none" w:sz="0" w:space="0" w:color="auto"/>
        <w:right w:val="none" w:sz="0" w:space="0" w:color="auto"/>
      </w:divBdr>
    </w:div>
    <w:div w:id="1010719796">
      <w:bodyDiv w:val="1"/>
      <w:marLeft w:val="0"/>
      <w:marRight w:val="0"/>
      <w:marTop w:val="0"/>
      <w:marBottom w:val="0"/>
      <w:divBdr>
        <w:top w:val="none" w:sz="0" w:space="0" w:color="auto"/>
        <w:left w:val="none" w:sz="0" w:space="0" w:color="auto"/>
        <w:bottom w:val="none" w:sz="0" w:space="0" w:color="auto"/>
        <w:right w:val="none" w:sz="0" w:space="0" w:color="auto"/>
      </w:divBdr>
    </w:div>
    <w:div w:id="1111588020">
      <w:bodyDiv w:val="1"/>
      <w:marLeft w:val="0"/>
      <w:marRight w:val="0"/>
      <w:marTop w:val="0"/>
      <w:marBottom w:val="0"/>
      <w:divBdr>
        <w:top w:val="none" w:sz="0" w:space="0" w:color="auto"/>
        <w:left w:val="none" w:sz="0" w:space="0" w:color="auto"/>
        <w:bottom w:val="none" w:sz="0" w:space="0" w:color="auto"/>
        <w:right w:val="none" w:sz="0" w:space="0" w:color="auto"/>
      </w:divBdr>
    </w:div>
    <w:div w:id="1617522586">
      <w:bodyDiv w:val="1"/>
      <w:marLeft w:val="0"/>
      <w:marRight w:val="0"/>
      <w:marTop w:val="0"/>
      <w:marBottom w:val="0"/>
      <w:divBdr>
        <w:top w:val="none" w:sz="0" w:space="0" w:color="auto"/>
        <w:left w:val="none" w:sz="0" w:space="0" w:color="auto"/>
        <w:bottom w:val="none" w:sz="0" w:space="0" w:color="auto"/>
        <w:right w:val="none" w:sz="0" w:space="0" w:color="auto"/>
      </w:divBdr>
    </w:div>
    <w:div w:id="1649434906">
      <w:bodyDiv w:val="1"/>
      <w:marLeft w:val="0"/>
      <w:marRight w:val="0"/>
      <w:marTop w:val="0"/>
      <w:marBottom w:val="0"/>
      <w:divBdr>
        <w:top w:val="none" w:sz="0" w:space="0" w:color="auto"/>
        <w:left w:val="none" w:sz="0" w:space="0" w:color="auto"/>
        <w:bottom w:val="none" w:sz="0" w:space="0" w:color="auto"/>
        <w:right w:val="none" w:sz="0" w:space="0" w:color="auto"/>
      </w:divBdr>
    </w:div>
    <w:div w:id="1752657627">
      <w:bodyDiv w:val="1"/>
      <w:marLeft w:val="0"/>
      <w:marRight w:val="0"/>
      <w:marTop w:val="0"/>
      <w:marBottom w:val="0"/>
      <w:divBdr>
        <w:top w:val="none" w:sz="0" w:space="0" w:color="auto"/>
        <w:left w:val="none" w:sz="0" w:space="0" w:color="auto"/>
        <w:bottom w:val="none" w:sz="0" w:space="0" w:color="auto"/>
        <w:right w:val="none" w:sz="0" w:space="0" w:color="auto"/>
      </w:divBdr>
    </w:div>
    <w:div w:id="1812600854">
      <w:bodyDiv w:val="1"/>
      <w:marLeft w:val="0"/>
      <w:marRight w:val="0"/>
      <w:marTop w:val="0"/>
      <w:marBottom w:val="0"/>
      <w:divBdr>
        <w:top w:val="none" w:sz="0" w:space="0" w:color="auto"/>
        <w:left w:val="none" w:sz="0" w:space="0" w:color="auto"/>
        <w:bottom w:val="none" w:sz="0" w:space="0" w:color="auto"/>
        <w:right w:val="none" w:sz="0" w:space="0" w:color="auto"/>
      </w:divBdr>
    </w:div>
    <w:div w:id="1898542009">
      <w:bodyDiv w:val="1"/>
      <w:marLeft w:val="0"/>
      <w:marRight w:val="0"/>
      <w:marTop w:val="0"/>
      <w:marBottom w:val="0"/>
      <w:divBdr>
        <w:top w:val="none" w:sz="0" w:space="0" w:color="auto"/>
        <w:left w:val="none" w:sz="0" w:space="0" w:color="auto"/>
        <w:bottom w:val="none" w:sz="0" w:space="0" w:color="auto"/>
        <w:right w:val="none" w:sz="0" w:space="0" w:color="auto"/>
      </w:divBdr>
    </w:div>
    <w:div w:id="2059738167">
      <w:bodyDiv w:val="1"/>
      <w:marLeft w:val="0"/>
      <w:marRight w:val="0"/>
      <w:marTop w:val="0"/>
      <w:marBottom w:val="0"/>
      <w:divBdr>
        <w:top w:val="none" w:sz="0" w:space="0" w:color="auto"/>
        <w:left w:val="none" w:sz="0" w:space="0" w:color="auto"/>
        <w:bottom w:val="none" w:sz="0" w:space="0" w:color="auto"/>
        <w:right w:val="none" w:sz="0" w:space="0" w:color="auto"/>
      </w:divBdr>
    </w:div>
    <w:div w:id="206556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4FF9D-E88A-447F-BC5E-0CC3D6678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1385</TotalTime>
  <Pages>18</Pages>
  <Words>4650</Words>
  <Characters>25110</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Pasold</dc:creator>
  <cp:keywords/>
  <cp:lastModifiedBy>Ademir</cp:lastModifiedBy>
  <cp:revision>124</cp:revision>
  <cp:lastPrinted>2017-12-04T17:05:00Z</cp:lastPrinted>
  <dcterms:created xsi:type="dcterms:W3CDTF">2017-11-23T18:33:00Z</dcterms:created>
  <dcterms:modified xsi:type="dcterms:W3CDTF">2018-02-12T11:27:00Z</dcterms:modified>
</cp:coreProperties>
</file>